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E9" w:rsidRDefault="007B25E9" w:rsidP="007B25E9">
      <w:pPr>
        <w:pStyle w:val="Title"/>
      </w:pPr>
      <w:r>
        <w:t>The Dog Catches the Car…</w:t>
      </w:r>
    </w:p>
    <w:p w:rsidR="007B25E9" w:rsidRDefault="007B25E9" w:rsidP="007B25E9">
      <w:pPr>
        <w:pStyle w:val="Title"/>
      </w:pPr>
      <w:r>
        <w:tab/>
        <w:t xml:space="preserve">Should </w:t>
      </w:r>
      <w:proofErr w:type="spellStart"/>
      <w:r>
        <w:t>Ivar’s</w:t>
      </w:r>
      <w:proofErr w:type="spellEnd"/>
      <w:r>
        <w:t xml:space="preserve"> Have Entered Qwest Field?</w:t>
      </w:r>
    </w:p>
    <w:p w:rsidR="007B25E9" w:rsidRDefault="007B25E9"/>
    <w:p w:rsidR="00010704" w:rsidRDefault="00010704">
      <w:pPr>
        <w:rPr>
          <w:b/>
          <w:bCs/>
          <w:sz w:val="22"/>
          <w:szCs w:val="22"/>
        </w:rPr>
      </w:pPr>
    </w:p>
    <w:p w:rsidR="002F2E1D" w:rsidRPr="00A27EF5" w:rsidRDefault="00604B38">
      <w:pPr>
        <w:rPr>
          <w:sz w:val="22"/>
          <w:szCs w:val="22"/>
        </w:rPr>
      </w:pPr>
      <w:r w:rsidRPr="00A27EF5">
        <w:rPr>
          <w:b/>
          <w:bCs/>
          <w:sz w:val="22"/>
          <w:szCs w:val="22"/>
        </w:rPr>
        <w:tab/>
      </w:r>
      <w:r w:rsidRPr="00A27EF5">
        <w:rPr>
          <w:sz w:val="22"/>
          <w:szCs w:val="22"/>
        </w:rPr>
        <w:t xml:space="preserve">It was Valentine’s Day </w:t>
      </w:r>
      <w:r w:rsidR="00001299" w:rsidRPr="00A27EF5">
        <w:rPr>
          <w:sz w:val="22"/>
          <w:szCs w:val="22"/>
        </w:rPr>
        <w:t xml:space="preserve">2004 </w:t>
      </w:r>
      <w:r w:rsidRPr="00A27EF5">
        <w:rPr>
          <w:sz w:val="22"/>
          <w:szCs w:val="22"/>
        </w:rPr>
        <w:t>and</w:t>
      </w:r>
      <w:r w:rsidRPr="00A27EF5">
        <w:rPr>
          <w:b/>
          <w:bCs/>
          <w:sz w:val="22"/>
          <w:szCs w:val="22"/>
        </w:rPr>
        <w:t xml:space="preserve"> </w:t>
      </w:r>
      <w:r w:rsidRPr="00A27EF5">
        <w:rPr>
          <w:sz w:val="22"/>
          <w:szCs w:val="22"/>
        </w:rPr>
        <w:t xml:space="preserve">Walt </w:t>
      </w:r>
      <w:proofErr w:type="spellStart"/>
      <w:r w:rsidRPr="00A27EF5">
        <w:rPr>
          <w:sz w:val="22"/>
          <w:szCs w:val="22"/>
        </w:rPr>
        <w:t>Pillman</w:t>
      </w:r>
      <w:proofErr w:type="spellEnd"/>
      <w:r w:rsidRPr="00A27EF5">
        <w:rPr>
          <w:sz w:val="22"/>
          <w:szCs w:val="22"/>
        </w:rPr>
        <w:t xml:space="preserve"> was excited and confused.  He managed </w:t>
      </w:r>
      <w:proofErr w:type="spellStart"/>
      <w:r w:rsidRPr="00A27EF5">
        <w:rPr>
          <w:sz w:val="22"/>
          <w:szCs w:val="22"/>
        </w:rPr>
        <w:t>Ivar’s</w:t>
      </w:r>
      <w:proofErr w:type="spellEnd"/>
      <w:r w:rsidRPr="00A27EF5">
        <w:rPr>
          <w:sz w:val="22"/>
          <w:szCs w:val="22"/>
        </w:rPr>
        <w:t xml:space="preserve"> operations in sports facilities, and after years of discussions, the Seahawks and </w:t>
      </w:r>
      <w:proofErr w:type="spellStart"/>
      <w:r w:rsidRPr="00A27EF5">
        <w:rPr>
          <w:sz w:val="22"/>
          <w:szCs w:val="22"/>
        </w:rPr>
        <w:t>Aramark</w:t>
      </w:r>
      <w:proofErr w:type="spellEnd"/>
      <w:r w:rsidRPr="00A27EF5">
        <w:rPr>
          <w:sz w:val="22"/>
          <w:szCs w:val="22"/>
        </w:rPr>
        <w:t xml:space="preserve"> had finally agreed to allow </w:t>
      </w:r>
      <w:proofErr w:type="spellStart"/>
      <w:r w:rsidRPr="00A27EF5">
        <w:rPr>
          <w:sz w:val="22"/>
          <w:szCs w:val="22"/>
        </w:rPr>
        <w:t>Ivar’s</w:t>
      </w:r>
      <w:proofErr w:type="spellEnd"/>
      <w:r w:rsidRPr="00A27EF5">
        <w:rPr>
          <w:sz w:val="22"/>
          <w:szCs w:val="22"/>
        </w:rPr>
        <w:t xml:space="preserve"> into Qwest Field.  Like a dog who chased cars, Walt had finally caught a car and wasn’t sure how to proceed.</w:t>
      </w:r>
    </w:p>
    <w:p w:rsidR="002F2E1D" w:rsidRPr="00A27EF5" w:rsidRDefault="002F2E1D">
      <w:pPr>
        <w:rPr>
          <w:sz w:val="22"/>
          <w:szCs w:val="22"/>
        </w:rPr>
      </w:pPr>
    </w:p>
    <w:p w:rsidR="002F2E1D" w:rsidRPr="00A27EF5" w:rsidRDefault="00604B38">
      <w:pPr>
        <w:rPr>
          <w:sz w:val="22"/>
          <w:szCs w:val="22"/>
        </w:rPr>
      </w:pPr>
      <w:r w:rsidRPr="00A27EF5">
        <w:rPr>
          <w:sz w:val="22"/>
          <w:szCs w:val="22"/>
        </w:rPr>
        <w:t>WHO ARE THE PLAYERS IN THIS CASE?</w:t>
      </w:r>
    </w:p>
    <w:p w:rsidR="002F2E1D" w:rsidRPr="00A27EF5" w:rsidRDefault="00604B38">
      <w:pPr>
        <w:rPr>
          <w:sz w:val="22"/>
          <w:szCs w:val="22"/>
        </w:rPr>
      </w:pPr>
      <w:r w:rsidRPr="00A27EF5">
        <w:rPr>
          <w:sz w:val="22"/>
          <w:szCs w:val="22"/>
          <w:u w:val="single"/>
        </w:rPr>
        <w:t>MAJOR PLAYERS:  Seattle Baseball and Football Sports Teams</w:t>
      </w:r>
    </w:p>
    <w:p w:rsidR="002F2E1D" w:rsidRPr="00A27EF5" w:rsidRDefault="00604B38">
      <w:pPr>
        <w:rPr>
          <w:sz w:val="22"/>
          <w:szCs w:val="22"/>
        </w:rPr>
      </w:pPr>
      <w:r w:rsidRPr="00A27EF5">
        <w:rPr>
          <w:sz w:val="22"/>
          <w:szCs w:val="22"/>
        </w:rPr>
        <w:t xml:space="preserve">The Seattle Mariners baseball club (American League West, </w:t>
      </w:r>
      <w:proofErr w:type="spellStart"/>
      <w:r w:rsidRPr="00A27EF5">
        <w:rPr>
          <w:sz w:val="22"/>
          <w:szCs w:val="22"/>
        </w:rPr>
        <w:t>MLB</w:t>
      </w:r>
      <w:proofErr w:type="spellEnd"/>
      <w:r w:rsidRPr="00A27EF5">
        <w:rPr>
          <w:sz w:val="22"/>
          <w:szCs w:val="22"/>
        </w:rPr>
        <w:t xml:space="preserve">) and Seattle Seahawks football club (West Division of the National Football Conference, NFL) have a long history in Seattle, with the Mariners beginning in 1977 (after returning from a brief tour of duty in Milwaukee as the “Brewers”) and the Seahawks football club beginning in 1976, founded by John Nordstrom, an owner of the Seattle department store </w:t>
      </w:r>
      <w:r w:rsidR="00573554" w:rsidRPr="00A27EF5">
        <w:rPr>
          <w:sz w:val="22"/>
          <w:szCs w:val="22"/>
        </w:rPr>
        <w:t>founded by his grandfather</w:t>
      </w:r>
      <w:r w:rsidRPr="00A27EF5">
        <w:rPr>
          <w:sz w:val="22"/>
          <w:szCs w:val="22"/>
        </w:rPr>
        <w:t xml:space="preserve">.  </w:t>
      </w:r>
    </w:p>
    <w:p w:rsidR="002F2E1D" w:rsidRPr="00A27EF5" w:rsidRDefault="002F2E1D">
      <w:pPr>
        <w:rPr>
          <w:sz w:val="22"/>
          <w:szCs w:val="22"/>
        </w:rPr>
      </w:pPr>
    </w:p>
    <w:p w:rsidR="002F2E1D" w:rsidRPr="00A27EF5" w:rsidRDefault="00604B38">
      <w:pPr>
        <w:rPr>
          <w:sz w:val="22"/>
          <w:szCs w:val="22"/>
        </w:rPr>
      </w:pPr>
      <w:r w:rsidRPr="00A27EF5">
        <w:rPr>
          <w:sz w:val="22"/>
          <w:szCs w:val="22"/>
          <w:u w:val="single"/>
        </w:rPr>
        <w:t>NEW SPORTS ARENAS IN SEATTLE</w:t>
      </w:r>
      <w:r w:rsidRPr="00A27EF5">
        <w:rPr>
          <w:sz w:val="22"/>
          <w:szCs w:val="22"/>
        </w:rPr>
        <w:t xml:space="preserve">:  Both teams played in the downtown Seattle sports arena, the Kingdome, </w:t>
      </w:r>
      <w:proofErr w:type="gramStart"/>
      <w:r w:rsidRPr="00A27EF5">
        <w:rPr>
          <w:sz w:val="22"/>
          <w:szCs w:val="22"/>
        </w:rPr>
        <w:t>the  American</w:t>
      </w:r>
      <w:proofErr w:type="gramEnd"/>
      <w:r w:rsidRPr="00A27EF5">
        <w:rPr>
          <w:sz w:val="22"/>
          <w:szCs w:val="22"/>
        </w:rPr>
        <w:t xml:space="preserve"> League’s first domed stadium from inception until the Seahawks last game in 1999, when the Kingdome was demolished and the Mariners moved to </w:t>
      </w:r>
      <w:r w:rsidR="00573554" w:rsidRPr="00A27EF5">
        <w:rPr>
          <w:sz w:val="22"/>
          <w:szCs w:val="22"/>
        </w:rPr>
        <w:t>their</w:t>
      </w:r>
      <w:r w:rsidRPr="00A27EF5">
        <w:rPr>
          <w:sz w:val="22"/>
          <w:szCs w:val="22"/>
        </w:rPr>
        <w:t xml:space="preserve"> new sports arena, Safeco Field, a combined indoor/outdoor baseball stadium, complete with retractable roof, playing their inaugural game on July 15, 1999 against the San Diego Padres.  From 1999 to 2002 the Seahawks moved across town to the University of Washington’s Husky Stadium, until </w:t>
      </w:r>
      <w:r w:rsidR="008D28F7" w:rsidRPr="00A27EF5">
        <w:rPr>
          <w:sz w:val="22"/>
          <w:szCs w:val="22"/>
        </w:rPr>
        <w:t xml:space="preserve">their </w:t>
      </w:r>
      <w:r w:rsidRPr="00A27EF5">
        <w:rPr>
          <w:sz w:val="22"/>
          <w:szCs w:val="22"/>
        </w:rPr>
        <w:t>new downtown ballpark, Qwest Field was completed</w:t>
      </w:r>
      <w:r w:rsidR="008D28F7" w:rsidRPr="00A27EF5">
        <w:rPr>
          <w:sz w:val="22"/>
          <w:szCs w:val="22"/>
        </w:rPr>
        <w:t xml:space="preserve">. </w:t>
      </w:r>
      <w:r w:rsidRPr="00A27EF5">
        <w:rPr>
          <w:sz w:val="22"/>
          <w:szCs w:val="22"/>
        </w:rPr>
        <w:t xml:space="preserve"> Opening Night </w:t>
      </w:r>
      <w:proofErr w:type="gramStart"/>
      <w:r w:rsidR="008D28F7" w:rsidRPr="00A27EF5">
        <w:rPr>
          <w:sz w:val="22"/>
          <w:szCs w:val="22"/>
        </w:rPr>
        <w:t xml:space="preserve">was </w:t>
      </w:r>
      <w:r w:rsidRPr="00A27EF5">
        <w:rPr>
          <w:sz w:val="22"/>
          <w:szCs w:val="22"/>
        </w:rPr>
        <w:t xml:space="preserve"> August</w:t>
      </w:r>
      <w:proofErr w:type="gramEnd"/>
      <w:r w:rsidRPr="00A27EF5">
        <w:rPr>
          <w:sz w:val="22"/>
          <w:szCs w:val="22"/>
        </w:rPr>
        <w:t xml:space="preserve"> 10, 2002 with a preseason game against the Indianapolis Colts (AFC). </w:t>
      </w:r>
    </w:p>
    <w:p w:rsidR="002F2E1D" w:rsidRPr="00A27EF5" w:rsidRDefault="002F2E1D">
      <w:pPr>
        <w:rPr>
          <w:sz w:val="22"/>
          <w:szCs w:val="22"/>
        </w:rPr>
      </w:pPr>
    </w:p>
    <w:p w:rsidR="002F2E1D" w:rsidRPr="00A27EF5" w:rsidRDefault="00604B38">
      <w:pPr>
        <w:rPr>
          <w:sz w:val="22"/>
          <w:szCs w:val="22"/>
        </w:rPr>
      </w:pPr>
      <w:r w:rsidRPr="00A27EF5">
        <w:rPr>
          <w:sz w:val="22"/>
          <w:szCs w:val="22"/>
          <w:u w:val="single"/>
        </w:rPr>
        <w:t xml:space="preserve">STAR PLAYER:  </w:t>
      </w:r>
      <w:proofErr w:type="spellStart"/>
      <w:r w:rsidRPr="00A27EF5">
        <w:rPr>
          <w:sz w:val="22"/>
          <w:szCs w:val="22"/>
          <w:u w:val="single"/>
        </w:rPr>
        <w:t>Ivar’s</w:t>
      </w:r>
      <w:proofErr w:type="spellEnd"/>
    </w:p>
    <w:p w:rsidR="002F2E1D" w:rsidRPr="00A27EF5" w:rsidRDefault="00604B38">
      <w:pPr>
        <w:rPr>
          <w:sz w:val="22"/>
          <w:szCs w:val="22"/>
        </w:rPr>
      </w:pPr>
      <w:proofErr w:type="spellStart"/>
      <w:r w:rsidRPr="00A27EF5">
        <w:rPr>
          <w:sz w:val="22"/>
          <w:szCs w:val="22"/>
        </w:rPr>
        <w:t>Ivar’s</w:t>
      </w:r>
      <w:proofErr w:type="spellEnd"/>
      <w:r w:rsidRPr="00A27EF5">
        <w:rPr>
          <w:sz w:val="22"/>
          <w:szCs w:val="22"/>
        </w:rPr>
        <w:t xml:space="preserve"> Restaurants has been serving restaurant and quick-serve seafood for over 65 years.  Starting on Pier </w:t>
      </w:r>
      <w:r w:rsidR="008D28F7" w:rsidRPr="00A27EF5">
        <w:rPr>
          <w:sz w:val="22"/>
          <w:szCs w:val="22"/>
        </w:rPr>
        <w:t>3</w:t>
      </w:r>
      <w:r w:rsidRPr="00A27EF5">
        <w:rPr>
          <w:sz w:val="22"/>
          <w:szCs w:val="22"/>
        </w:rPr>
        <w:t xml:space="preserve"> on the Seattle Waterfront in 1938 as a side business to an </w:t>
      </w:r>
      <w:r w:rsidR="002926A9" w:rsidRPr="00A27EF5">
        <w:rPr>
          <w:sz w:val="22"/>
          <w:szCs w:val="22"/>
        </w:rPr>
        <w:t>aquarium</w:t>
      </w:r>
      <w:r w:rsidRPr="00A27EF5">
        <w:rPr>
          <w:sz w:val="22"/>
          <w:szCs w:val="22"/>
        </w:rPr>
        <w:t xml:space="preserve">, demand for its popular clam chowder soon warranted more capacity and the </w:t>
      </w:r>
      <w:r w:rsidR="002926A9" w:rsidRPr="00A27EF5">
        <w:rPr>
          <w:sz w:val="22"/>
          <w:szCs w:val="22"/>
        </w:rPr>
        <w:t xml:space="preserve">aquarium </w:t>
      </w:r>
      <w:r w:rsidRPr="00A27EF5">
        <w:rPr>
          <w:sz w:val="22"/>
          <w:szCs w:val="22"/>
        </w:rPr>
        <w:t xml:space="preserve">was shut down in favor of selling white and red chowders, and quick-serve fish ‘n’ chips (cod, halibut, salmon, clams, scallops, baby prawns, or oysters).  Founder </w:t>
      </w:r>
      <w:proofErr w:type="spellStart"/>
      <w:r w:rsidRPr="00A27EF5">
        <w:rPr>
          <w:sz w:val="22"/>
          <w:szCs w:val="22"/>
        </w:rPr>
        <w:t>Ivar</w:t>
      </w:r>
      <w:proofErr w:type="spellEnd"/>
      <w:r w:rsidRPr="00A27EF5">
        <w:rPr>
          <w:sz w:val="22"/>
          <w:szCs w:val="22"/>
        </w:rPr>
        <w:t xml:space="preserve"> </w:t>
      </w:r>
      <w:proofErr w:type="spellStart"/>
      <w:r w:rsidRPr="00A27EF5">
        <w:rPr>
          <w:sz w:val="22"/>
          <w:szCs w:val="22"/>
        </w:rPr>
        <w:t>Haglund</w:t>
      </w:r>
      <w:proofErr w:type="spellEnd"/>
      <w:r w:rsidRPr="00A27EF5">
        <w:rPr>
          <w:sz w:val="22"/>
          <w:szCs w:val="22"/>
        </w:rPr>
        <w:t xml:space="preserve"> was a local celebrity who wrote and sang numerous ballads (“Acres of </w:t>
      </w:r>
      <w:r w:rsidR="008D28F7" w:rsidRPr="00A27EF5">
        <w:rPr>
          <w:sz w:val="22"/>
          <w:szCs w:val="22"/>
        </w:rPr>
        <w:t>Clams</w:t>
      </w:r>
      <w:r w:rsidRPr="00A27EF5">
        <w:rPr>
          <w:sz w:val="22"/>
          <w:szCs w:val="22"/>
        </w:rPr>
        <w:t xml:space="preserve">”) on the local radio and (later) </w:t>
      </w:r>
      <w:proofErr w:type="spellStart"/>
      <w:proofErr w:type="gramStart"/>
      <w:r w:rsidRPr="00A27EF5">
        <w:rPr>
          <w:sz w:val="22"/>
          <w:szCs w:val="22"/>
        </w:rPr>
        <w:t>tv</w:t>
      </w:r>
      <w:proofErr w:type="spellEnd"/>
      <w:proofErr w:type="gramEnd"/>
      <w:r w:rsidRPr="00A27EF5">
        <w:rPr>
          <w:sz w:val="22"/>
          <w:szCs w:val="22"/>
        </w:rPr>
        <w:t xml:space="preserve"> stations</w:t>
      </w:r>
      <w:r w:rsidR="008D28F7" w:rsidRPr="00A27EF5">
        <w:rPr>
          <w:sz w:val="22"/>
          <w:szCs w:val="22"/>
        </w:rPr>
        <w:t xml:space="preserve">.  After his death, the iconic Dancing Clams began to appear, who </w:t>
      </w:r>
      <w:proofErr w:type="gramStart"/>
      <w:r w:rsidR="008D28F7" w:rsidRPr="00A27EF5">
        <w:rPr>
          <w:sz w:val="22"/>
          <w:szCs w:val="22"/>
        </w:rPr>
        <w:t>were</w:t>
      </w:r>
      <w:r w:rsidRPr="00A27EF5">
        <w:rPr>
          <w:sz w:val="22"/>
          <w:szCs w:val="22"/>
        </w:rPr>
        <w:t xml:space="preserve"> tap-dancing mascots in clam suits</w:t>
      </w:r>
      <w:proofErr w:type="gramEnd"/>
      <w:r w:rsidRPr="00A27EF5">
        <w:rPr>
          <w:sz w:val="22"/>
          <w:szCs w:val="22"/>
        </w:rPr>
        <w:t xml:space="preserve">.  There has been a strong, local Seattle connection to </w:t>
      </w:r>
      <w:proofErr w:type="spellStart"/>
      <w:r w:rsidRPr="00A27EF5">
        <w:rPr>
          <w:sz w:val="22"/>
          <w:szCs w:val="22"/>
        </w:rPr>
        <w:t>Ivar’s</w:t>
      </w:r>
      <w:proofErr w:type="spellEnd"/>
      <w:r w:rsidRPr="00A27EF5">
        <w:rPr>
          <w:sz w:val="22"/>
          <w:szCs w:val="22"/>
        </w:rPr>
        <w:t xml:space="preserve"> customers throughout the 65 years.  Currently </w:t>
      </w:r>
      <w:proofErr w:type="spellStart"/>
      <w:r w:rsidRPr="00A27EF5">
        <w:rPr>
          <w:sz w:val="22"/>
          <w:szCs w:val="22"/>
        </w:rPr>
        <w:t>Ivar’s</w:t>
      </w:r>
      <w:proofErr w:type="spellEnd"/>
      <w:r w:rsidRPr="00A27EF5">
        <w:rPr>
          <w:sz w:val="22"/>
          <w:szCs w:val="22"/>
        </w:rPr>
        <w:t xml:space="preserve"> maintains over 25 Quick Serve Seafood Bars, three restaurants, and, since 1990, 13 Kidd Valley Burger locations in the Seattle area.  </w:t>
      </w:r>
    </w:p>
    <w:p w:rsidR="002F2E1D" w:rsidRPr="00A27EF5" w:rsidRDefault="002F2E1D">
      <w:pPr>
        <w:rPr>
          <w:sz w:val="22"/>
          <w:szCs w:val="22"/>
        </w:rPr>
      </w:pPr>
    </w:p>
    <w:p w:rsidR="002F2E1D" w:rsidRPr="00A27EF5" w:rsidRDefault="00604B38">
      <w:pPr>
        <w:rPr>
          <w:sz w:val="22"/>
          <w:szCs w:val="22"/>
        </w:rPr>
      </w:pPr>
      <w:proofErr w:type="spellStart"/>
      <w:r w:rsidRPr="00A27EF5">
        <w:rPr>
          <w:sz w:val="22"/>
          <w:szCs w:val="22"/>
        </w:rPr>
        <w:t>Ivar’s</w:t>
      </w:r>
      <w:proofErr w:type="spellEnd"/>
      <w:r w:rsidRPr="00A27EF5">
        <w:rPr>
          <w:sz w:val="22"/>
          <w:szCs w:val="22"/>
        </w:rPr>
        <w:t xml:space="preserve"> 2004 sales were reported at </w:t>
      </w:r>
      <w:r w:rsidR="008D28F7" w:rsidRPr="00A27EF5">
        <w:rPr>
          <w:sz w:val="22"/>
          <w:szCs w:val="22"/>
        </w:rPr>
        <w:t xml:space="preserve">around $50 </w:t>
      </w:r>
      <w:r w:rsidRPr="00A27EF5">
        <w:rPr>
          <w:sz w:val="22"/>
          <w:szCs w:val="22"/>
        </w:rPr>
        <w:t xml:space="preserve">million, with its </w:t>
      </w:r>
      <w:proofErr w:type="spellStart"/>
      <w:r w:rsidRPr="00A27EF5">
        <w:rPr>
          <w:sz w:val="22"/>
          <w:szCs w:val="22"/>
        </w:rPr>
        <w:t>Ivar’s</w:t>
      </w:r>
      <w:proofErr w:type="spellEnd"/>
      <w:r w:rsidRPr="00A27EF5">
        <w:rPr>
          <w:sz w:val="22"/>
          <w:szCs w:val="22"/>
        </w:rPr>
        <w:t xml:space="preserve"> seafood bars averaging $700,000 in annual sales and its Kidd Valley locations $640,000.  Its flagship restaurant </w:t>
      </w:r>
      <w:proofErr w:type="spellStart"/>
      <w:r w:rsidRPr="00A27EF5">
        <w:rPr>
          <w:sz w:val="22"/>
          <w:szCs w:val="22"/>
        </w:rPr>
        <w:t>Ivar’s</w:t>
      </w:r>
      <w:proofErr w:type="spellEnd"/>
      <w:r w:rsidRPr="00A27EF5">
        <w:rPr>
          <w:sz w:val="22"/>
          <w:szCs w:val="22"/>
        </w:rPr>
        <w:t xml:space="preserve"> Acres of Clams and adjoining seafood bar earned close to $10 million in sales.  The average check at its restaurants for lunch was $</w:t>
      </w:r>
      <w:proofErr w:type="gramStart"/>
      <w:r w:rsidRPr="00A27EF5">
        <w:rPr>
          <w:sz w:val="22"/>
          <w:szCs w:val="22"/>
        </w:rPr>
        <w:t>15,</w:t>
      </w:r>
      <w:proofErr w:type="gramEnd"/>
      <w:r w:rsidRPr="00A27EF5">
        <w:rPr>
          <w:sz w:val="22"/>
          <w:szCs w:val="22"/>
        </w:rPr>
        <w:t xml:space="preserve"> and $24 at dinner.  The per-person average ticket at the </w:t>
      </w:r>
      <w:proofErr w:type="spellStart"/>
      <w:r w:rsidRPr="00A27EF5">
        <w:rPr>
          <w:sz w:val="22"/>
          <w:szCs w:val="22"/>
        </w:rPr>
        <w:t>Ivar’s</w:t>
      </w:r>
      <w:proofErr w:type="spellEnd"/>
      <w:r w:rsidRPr="00A27EF5">
        <w:rPr>
          <w:sz w:val="22"/>
          <w:szCs w:val="22"/>
        </w:rPr>
        <w:t xml:space="preserve"> seafood bars and Kidd Valley was $7.  </w:t>
      </w:r>
      <w:proofErr w:type="spellStart"/>
      <w:r w:rsidRPr="00A27EF5">
        <w:rPr>
          <w:sz w:val="22"/>
          <w:szCs w:val="22"/>
        </w:rPr>
        <w:t>Ivar’s</w:t>
      </w:r>
      <w:proofErr w:type="spellEnd"/>
      <w:r w:rsidRPr="00A27EF5">
        <w:rPr>
          <w:sz w:val="22"/>
          <w:szCs w:val="22"/>
        </w:rPr>
        <w:t xml:space="preserve"> has had f</w:t>
      </w:r>
      <w:r w:rsidR="002926A9" w:rsidRPr="00A27EF5">
        <w:rPr>
          <w:sz w:val="22"/>
          <w:szCs w:val="22"/>
        </w:rPr>
        <w:t>ive consecutive years of profit for the year ending 2004.</w:t>
      </w:r>
      <w:r w:rsidRPr="00A27EF5">
        <w:rPr>
          <w:sz w:val="22"/>
          <w:szCs w:val="22"/>
        </w:rPr>
        <w:t xml:space="preserve">  </w:t>
      </w:r>
    </w:p>
    <w:p w:rsidR="002F2E1D" w:rsidRPr="00A27EF5" w:rsidRDefault="002F2E1D">
      <w:pPr>
        <w:rPr>
          <w:sz w:val="22"/>
          <w:szCs w:val="22"/>
        </w:rPr>
      </w:pPr>
    </w:p>
    <w:p w:rsidR="002F2E1D" w:rsidRPr="00A27EF5" w:rsidRDefault="009C306B">
      <w:pPr>
        <w:rPr>
          <w:sz w:val="22"/>
          <w:szCs w:val="22"/>
        </w:rPr>
      </w:pPr>
      <w:r w:rsidRPr="009C306B">
        <w:rPr>
          <w:noProof/>
          <w:sz w:val="22"/>
          <w:szCs w:val="22"/>
          <w:u w:val="single"/>
        </w:rPr>
        <w:pict>
          <v:shapetype id="_x0000_t202" coordsize="21600,21600" o:spt="202" path="m,l,21600r21600,l21600,xe">
            <v:stroke joinstyle="miter"/>
            <v:path gradientshapeok="t" o:connecttype="rect"/>
          </v:shapetype>
          <v:shape id="Text Box 2" o:spid="_x0000_s1026" type="#_x0000_t202" style="position:absolute;margin-left:615.25pt;margin-top:62.3pt;width:69.4pt;height:3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">
            <v:textbox>
              <w:txbxContent>
                <w:p w:rsidR="002F2E1D" w:rsidRDefault="00604B38">
                  <w:pPr>
                    <w:rPr>
                      <w:sz w:val="18"/>
                    </w:rPr>
                  </w:pPr>
                  <w:proofErr w:type="gramStart"/>
                  <w:r>
                    <w:rPr>
                      <w:sz w:val="18"/>
                    </w:rPr>
                    <w:t>what</w:t>
                  </w:r>
                  <w:proofErr w:type="gramEnd"/>
                  <w:r>
                    <w:rPr>
                      <w:sz w:val="18"/>
                    </w:rPr>
                    <w:t xml:space="preserve"> about merchandise?</w:t>
                  </w:r>
                </w:p>
              </w:txbxContent>
            </v:textbox>
          </v:shape>
        </w:pict>
      </w:r>
      <w:r w:rsidR="00604B38" w:rsidRPr="00010704">
        <w:rPr>
          <w:sz w:val="22"/>
          <w:szCs w:val="22"/>
          <w:u w:val="single"/>
        </w:rPr>
        <w:t>MINOR PLAYER, Master Concessionaire</w:t>
      </w:r>
      <w:r w:rsidR="00604B38" w:rsidRPr="00A27EF5">
        <w:rPr>
          <w:sz w:val="22"/>
          <w:szCs w:val="22"/>
        </w:rPr>
        <w:t xml:space="preserve">:  </w:t>
      </w:r>
      <w:proofErr w:type="spellStart"/>
      <w:r w:rsidR="00604B38" w:rsidRPr="00A27EF5">
        <w:rPr>
          <w:sz w:val="22"/>
          <w:szCs w:val="22"/>
        </w:rPr>
        <w:t>Aramark</w:t>
      </w:r>
      <w:proofErr w:type="spellEnd"/>
      <w:r w:rsidR="00604B38" w:rsidRPr="00A27EF5">
        <w:rPr>
          <w:sz w:val="22"/>
          <w:szCs w:val="22"/>
        </w:rPr>
        <w:t xml:space="preserve"> Corporation is one of the largest publicly held food and support service companies in the United States, as well as being a major provider internationally.  Its service segments include:  Food and Support Services (e.g., food—restaurants, catering, convenience stores, vending machines and coffee service, facility maintenance, housekeeping), Uniform and Career Apparel (rental and sales).  </w:t>
      </w:r>
      <w:proofErr w:type="spellStart"/>
      <w:r w:rsidR="00604B38" w:rsidRPr="00A27EF5">
        <w:rPr>
          <w:sz w:val="22"/>
          <w:szCs w:val="22"/>
        </w:rPr>
        <w:t>Aramark’s</w:t>
      </w:r>
      <w:proofErr w:type="spellEnd"/>
      <w:r w:rsidR="00604B38" w:rsidRPr="00A27EF5">
        <w:rPr>
          <w:sz w:val="22"/>
          <w:szCs w:val="22"/>
        </w:rPr>
        <w:t xml:space="preserve"> customers include:  businesses, education, healthcare, sports, entertainment, and recreation facilities.  At Qwest Field</w:t>
      </w:r>
      <w:r w:rsidR="00E43252" w:rsidRPr="00A27EF5">
        <w:rPr>
          <w:sz w:val="22"/>
          <w:szCs w:val="22"/>
        </w:rPr>
        <w:t>,</w:t>
      </w:r>
      <w:r w:rsidR="00604B38" w:rsidRPr="00A27EF5">
        <w:rPr>
          <w:sz w:val="22"/>
          <w:szCs w:val="22"/>
        </w:rPr>
        <w:t xml:space="preserve"> </w:t>
      </w:r>
      <w:proofErr w:type="spellStart"/>
      <w:r w:rsidR="00604B38" w:rsidRPr="00A27EF5">
        <w:rPr>
          <w:sz w:val="22"/>
          <w:szCs w:val="22"/>
        </w:rPr>
        <w:t>Aramark</w:t>
      </w:r>
      <w:proofErr w:type="spellEnd"/>
      <w:r w:rsidR="00604B38" w:rsidRPr="00A27EF5">
        <w:rPr>
          <w:sz w:val="22"/>
          <w:szCs w:val="22"/>
        </w:rPr>
        <w:t xml:space="preserve"> </w:t>
      </w:r>
      <w:r w:rsidR="008D28F7" w:rsidRPr="00A27EF5">
        <w:rPr>
          <w:sz w:val="22"/>
          <w:szCs w:val="22"/>
        </w:rPr>
        <w:t>was</w:t>
      </w:r>
      <w:r w:rsidR="00604B38" w:rsidRPr="00A27EF5">
        <w:rPr>
          <w:sz w:val="22"/>
          <w:szCs w:val="22"/>
        </w:rPr>
        <w:t xml:space="preserve"> the Master Concessionaire responsible for the concessions.  </w:t>
      </w:r>
      <w:proofErr w:type="spellStart"/>
      <w:r w:rsidR="00604B38" w:rsidRPr="00A27EF5">
        <w:rPr>
          <w:sz w:val="22"/>
          <w:szCs w:val="22"/>
        </w:rPr>
        <w:t>Aramark’s</w:t>
      </w:r>
      <w:proofErr w:type="spellEnd"/>
      <w:r w:rsidR="00604B38" w:rsidRPr="00A27EF5">
        <w:rPr>
          <w:sz w:val="22"/>
          <w:szCs w:val="22"/>
        </w:rPr>
        <w:t xml:space="preserve"> contracts for sports, entertainment, and recreational services are from five to fifteen years in duration.</w:t>
      </w:r>
      <w:r w:rsidR="00080B83" w:rsidRPr="00A27EF5">
        <w:rPr>
          <w:sz w:val="22"/>
          <w:szCs w:val="22"/>
        </w:rPr>
        <w:t xml:space="preserve">  At Safeco Field, Volume Services was the Master Concessionaire.</w:t>
      </w:r>
    </w:p>
    <w:p w:rsidR="002F2E1D" w:rsidRPr="00010704" w:rsidRDefault="00604B38">
      <w:pPr>
        <w:rPr>
          <w:b/>
          <w:bCs/>
          <w:sz w:val="22"/>
          <w:szCs w:val="22"/>
        </w:rPr>
      </w:pPr>
      <w:r w:rsidRPr="00010704">
        <w:rPr>
          <w:b/>
          <w:bCs/>
          <w:sz w:val="22"/>
          <w:szCs w:val="22"/>
        </w:rPr>
        <w:t>The Sports Concession Business</w:t>
      </w:r>
    </w:p>
    <w:p w:rsidR="002F2E1D" w:rsidRPr="00A27EF5" w:rsidRDefault="00604B38">
      <w:pPr>
        <w:rPr>
          <w:sz w:val="22"/>
          <w:szCs w:val="22"/>
        </w:rPr>
      </w:pPr>
      <w:r w:rsidRPr="00A27EF5">
        <w:rPr>
          <w:sz w:val="22"/>
          <w:szCs w:val="22"/>
        </w:rPr>
        <w:lastRenderedPageBreak/>
        <w:tab/>
        <w:t xml:space="preserve">A handful of national and international companies control the food service business in stadiums.  They typically sign a deal with a team for five to seven years during which they serve as the exclusive or master concessionaire in a stadium.  Unlike rent in a typical restaurant location, the teams charge the concessionaires “rent” of 40-60 percent of sales, and often the concessionaires contribute a chunk of capital ($2-5 million is not uncommon) to the team, and often install their own equipment.   The concessionaires like to keep their product cost (food plus packaging) below 20 percent of retail prices, compared with 25-33 percent in a typical restaurant.  Because of the target product cost and captive audience, prices in stadiums tend to be higher </w:t>
      </w:r>
      <w:r w:rsidR="00E43252" w:rsidRPr="00A27EF5">
        <w:rPr>
          <w:sz w:val="22"/>
          <w:szCs w:val="22"/>
        </w:rPr>
        <w:t>than prices</w:t>
      </w:r>
      <w:r w:rsidRPr="00A27EF5">
        <w:rPr>
          <w:sz w:val="22"/>
          <w:szCs w:val="22"/>
        </w:rPr>
        <w:t xml:space="preserve"> on the street.  The concessionaires like to develop their own products and menus, rather than contracting with outside restaurants—there isn’t enough </w:t>
      </w:r>
      <w:proofErr w:type="gramStart"/>
      <w:r w:rsidRPr="00A27EF5">
        <w:rPr>
          <w:sz w:val="22"/>
          <w:szCs w:val="22"/>
        </w:rPr>
        <w:t>margin</w:t>
      </w:r>
      <w:proofErr w:type="gramEnd"/>
      <w:r w:rsidRPr="00A27EF5">
        <w:rPr>
          <w:sz w:val="22"/>
          <w:szCs w:val="22"/>
        </w:rPr>
        <w:t xml:space="preserve"> to share among many parties.</w:t>
      </w:r>
    </w:p>
    <w:p w:rsidR="002F2E1D" w:rsidRPr="00A27EF5" w:rsidRDefault="00604B38">
      <w:pPr>
        <w:rPr>
          <w:sz w:val="22"/>
          <w:szCs w:val="22"/>
        </w:rPr>
      </w:pPr>
      <w:r w:rsidRPr="00A27EF5">
        <w:rPr>
          <w:sz w:val="22"/>
          <w:szCs w:val="22"/>
        </w:rPr>
        <w:tab/>
        <w:t>Some concessionaires have arranged deals with teams wherein the team provides all capital and retains all revenues, and pays the concessionaire a management fee tied to sales or profit targets.</w:t>
      </w:r>
    </w:p>
    <w:p w:rsidR="002F2E1D" w:rsidRPr="00A27EF5" w:rsidRDefault="00604B38">
      <w:pPr>
        <w:rPr>
          <w:sz w:val="22"/>
          <w:szCs w:val="22"/>
        </w:rPr>
      </w:pPr>
      <w:r w:rsidRPr="00A27EF5">
        <w:rPr>
          <w:sz w:val="22"/>
          <w:szCs w:val="22"/>
        </w:rPr>
        <w:tab/>
        <w:t>Concessionaires are often handicapped by architects who focus their design efforts on sky boxes or sight lines, and not concession stands.  Stands are often designed without production of food or speed of service in mind.</w:t>
      </w:r>
    </w:p>
    <w:p w:rsidR="002F2E1D" w:rsidRPr="00A27EF5" w:rsidRDefault="002F2E1D">
      <w:pPr>
        <w:rPr>
          <w:sz w:val="22"/>
          <w:szCs w:val="22"/>
        </w:rPr>
      </w:pPr>
    </w:p>
    <w:p w:rsidR="002F2E1D" w:rsidRPr="00A27EF5" w:rsidRDefault="00604B38">
      <w:pPr>
        <w:rPr>
          <w:sz w:val="22"/>
          <w:szCs w:val="22"/>
        </w:rPr>
      </w:pPr>
      <w:r w:rsidRPr="00A27EF5">
        <w:rPr>
          <w:sz w:val="22"/>
          <w:szCs w:val="22"/>
        </w:rPr>
        <w:t xml:space="preserve">DECISION MAKER AND PLANNER:  Walt </w:t>
      </w:r>
      <w:proofErr w:type="spellStart"/>
      <w:r w:rsidRPr="00A27EF5">
        <w:rPr>
          <w:sz w:val="22"/>
          <w:szCs w:val="22"/>
        </w:rPr>
        <w:t>Pillman</w:t>
      </w:r>
      <w:proofErr w:type="spellEnd"/>
      <w:r w:rsidRPr="00A27EF5">
        <w:rPr>
          <w:sz w:val="22"/>
          <w:szCs w:val="22"/>
        </w:rPr>
        <w:t xml:space="preserve">, director of Operations, </w:t>
      </w:r>
      <w:proofErr w:type="spellStart"/>
      <w:r w:rsidRPr="00A27EF5">
        <w:rPr>
          <w:sz w:val="22"/>
          <w:szCs w:val="22"/>
        </w:rPr>
        <w:t>Ivar’s</w:t>
      </w:r>
      <w:proofErr w:type="spellEnd"/>
      <w:r w:rsidRPr="00A27EF5">
        <w:rPr>
          <w:sz w:val="22"/>
          <w:szCs w:val="22"/>
        </w:rPr>
        <w:t xml:space="preserve"> Sports and Entertainment</w:t>
      </w:r>
    </w:p>
    <w:p w:rsidR="002F2E1D" w:rsidRPr="00A27EF5" w:rsidRDefault="002F2E1D">
      <w:pPr>
        <w:rPr>
          <w:sz w:val="22"/>
          <w:szCs w:val="22"/>
        </w:rPr>
      </w:pPr>
    </w:p>
    <w:p w:rsidR="002F2E1D" w:rsidRPr="00010704" w:rsidRDefault="00604B38">
      <w:pPr>
        <w:rPr>
          <w:b/>
          <w:sz w:val="22"/>
          <w:szCs w:val="22"/>
          <w:u w:val="single"/>
        </w:rPr>
      </w:pPr>
      <w:r w:rsidRPr="00010704">
        <w:rPr>
          <w:b/>
          <w:sz w:val="22"/>
          <w:szCs w:val="22"/>
          <w:u w:val="single"/>
        </w:rPr>
        <w:t xml:space="preserve">The </w:t>
      </w:r>
      <w:r w:rsidR="00E43252" w:rsidRPr="00010704">
        <w:rPr>
          <w:b/>
          <w:sz w:val="22"/>
          <w:szCs w:val="22"/>
          <w:u w:val="single"/>
        </w:rPr>
        <w:t>Background</w:t>
      </w:r>
      <w:r w:rsidRPr="00010704">
        <w:rPr>
          <w:b/>
          <w:sz w:val="22"/>
          <w:szCs w:val="22"/>
          <w:u w:val="single"/>
        </w:rPr>
        <w:t xml:space="preserve">:  </w:t>
      </w:r>
    </w:p>
    <w:p w:rsidR="002F2E1D" w:rsidRPr="00A27EF5" w:rsidRDefault="002F2E1D">
      <w:pPr>
        <w:rPr>
          <w:sz w:val="22"/>
          <w:szCs w:val="22"/>
          <w:u w:val="single"/>
        </w:rPr>
      </w:pPr>
    </w:p>
    <w:p w:rsidR="002F2E1D" w:rsidRPr="00A27EF5" w:rsidRDefault="00604B38">
      <w:pPr>
        <w:rPr>
          <w:bCs/>
          <w:sz w:val="22"/>
          <w:szCs w:val="22"/>
        </w:rPr>
      </w:pPr>
      <w:proofErr w:type="spellStart"/>
      <w:r w:rsidRPr="00A27EF5">
        <w:rPr>
          <w:bCs/>
          <w:sz w:val="22"/>
          <w:szCs w:val="22"/>
        </w:rPr>
        <w:t>Ivar’s</w:t>
      </w:r>
      <w:proofErr w:type="spellEnd"/>
      <w:r w:rsidRPr="00A27EF5">
        <w:rPr>
          <w:bCs/>
          <w:sz w:val="22"/>
          <w:szCs w:val="22"/>
        </w:rPr>
        <w:t xml:space="preserve"> </w:t>
      </w:r>
      <w:proofErr w:type="gramStart"/>
      <w:r w:rsidRPr="00A27EF5">
        <w:rPr>
          <w:bCs/>
          <w:sz w:val="22"/>
          <w:szCs w:val="22"/>
        </w:rPr>
        <w:t>Enters</w:t>
      </w:r>
      <w:proofErr w:type="gramEnd"/>
      <w:r w:rsidRPr="00A27EF5">
        <w:rPr>
          <w:bCs/>
          <w:sz w:val="22"/>
          <w:szCs w:val="22"/>
        </w:rPr>
        <w:t xml:space="preserve"> the Sports Concession Business</w:t>
      </w:r>
    </w:p>
    <w:p w:rsidR="002F2E1D" w:rsidRPr="00A27EF5" w:rsidRDefault="003578E5">
      <w:pPr>
        <w:rPr>
          <w:sz w:val="22"/>
          <w:szCs w:val="22"/>
        </w:rPr>
      </w:pPr>
      <w:r w:rsidRPr="00A27EF5">
        <w:rPr>
          <w:sz w:val="22"/>
          <w:szCs w:val="22"/>
          <w:u w:val="single"/>
        </w:rPr>
        <w:t>The Seattle Seahawks:</w:t>
      </w:r>
      <w:r w:rsidR="00604B38" w:rsidRPr="00A27EF5">
        <w:rPr>
          <w:bCs/>
          <w:sz w:val="22"/>
          <w:szCs w:val="22"/>
        </w:rPr>
        <w:tab/>
      </w:r>
      <w:r w:rsidR="00604B38" w:rsidRPr="00A27EF5">
        <w:rPr>
          <w:sz w:val="22"/>
          <w:szCs w:val="22"/>
        </w:rPr>
        <w:t xml:space="preserve">In 1998, when the Seahawks moved from the Kingdome to Husky Stadium, they asked </w:t>
      </w:r>
      <w:proofErr w:type="spellStart"/>
      <w:r w:rsidR="00604B38" w:rsidRPr="00A27EF5">
        <w:rPr>
          <w:sz w:val="22"/>
          <w:szCs w:val="22"/>
        </w:rPr>
        <w:t>Ivar’s</w:t>
      </w:r>
      <w:proofErr w:type="spellEnd"/>
      <w:r w:rsidR="00604B38" w:rsidRPr="00A27EF5">
        <w:rPr>
          <w:sz w:val="22"/>
          <w:szCs w:val="22"/>
        </w:rPr>
        <w:t xml:space="preserve"> to consider serving its world famous white clam chowder to Husky and Seahawks fans to cold, wet football fans.  </w:t>
      </w:r>
      <w:proofErr w:type="spellStart"/>
      <w:r w:rsidR="008D28F7" w:rsidRPr="00A27EF5">
        <w:rPr>
          <w:sz w:val="22"/>
          <w:szCs w:val="22"/>
        </w:rPr>
        <w:t>Ivar’s</w:t>
      </w:r>
      <w:proofErr w:type="spellEnd"/>
      <w:r w:rsidR="00604B38" w:rsidRPr="00A27EF5">
        <w:rPr>
          <w:sz w:val="22"/>
          <w:szCs w:val="22"/>
        </w:rPr>
        <w:t xml:space="preserve"> pulled its Clam wagon, a former Airstream travel trailer, into the west apron of Husky Stadium and began to sell its chowder.  </w:t>
      </w:r>
      <w:proofErr w:type="spellStart"/>
      <w:r w:rsidR="00604B38" w:rsidRPr="00A27EF5">
        <w:rPr>
          <w:sz w:val="22"/>
          <w:szCs w:val="22"/>
        </w:rPr>
        <w:t>Ivar’s</w:t>
      </w:r>
      <w:proofErr w:type="spellEnd"/>
      <w:r w:rsidR="00604B38" w:rsidRPr="00A27EF5">
        <w:rPr>
          <w:sz w:val="22"/>
          <w:szCs w:val="22"/>
        </w:rPr>
        <w:t xml:space="preserve"> was in the sports concessions business!</w:t>
      </w:r>
    </w:p>
    <w:p w:rsidR="002F2E1D" w:rsidRPr="00A27EF5" w:rsidRDefault="002F2E1D">
      <w:pPr>
        <w:rPr>
          <w:sz w:val="22"/>
          <w:szCs w:val="22"/>
        </w:rPr>
      </w:pPr>
    </w:p>
    <w:p w:rsidR="002F2E1D" w:rsidRPr="00A27EF5" w:rsidRDefault="00604B38">
      <w:pPr>
        <w:rPr>
          <w:sz w:val="22"/>
          <w:szCs w:val="22"/>
        </w:rPr>
      </w:pPr>
      <w:r w:rsidRPr="00A27EF5">
        <w:rPr>
          <w:sz w:val="22"/>
          <w:szCs w:val="22"/>
          <w:u w:val="single"/>
        </w:rPr>
        <w:t xml:space="preserve">Safeco </w:t>
      </w:r>
      <w:r w:rsidR="003578E5" w:rsidRPr="00A27EF5">
        <w:rPr>
          <w:sz w:val="22"/>
          <w:szCs w:val="22"/>
          <w:u w:val="single"/>
        </w:rPr>
        <w:t>Field:</w:t>
      </w:r>
      <w:r w:rsidR="003578E5" w:rsidRPr="00A27EF5">
        <w:rPr>
          <w:sz w:val="22"/>
          <w:szCs w:val="22"/>
        </w:rPr>
        <w:t xml:space="preserve">  </w:t>
      </w:r>
      <w:r w:rsidRPr="00A27EF5">
        <w:rPr>
          <w:sz w:val="22"/>
          <w:szCs w:val="22"/>
        </w:rPr>
        <w:t xml:space="preserve">About the same time, with Safeco Field under construction, the Mariners </w:t>
      </w:r>
      <w:r w:rsidR="003578E5" w:rsidRPr="00A27EF5">
        <w:rPr>
          <w:sz w:val="22"/>
          <w:szCs w:val="22"/>
        </w:rPr>
        <w:t xml:space="preserve">(baseball) </w:t>
      </w:r>
      <w:r w:rsidRPr="00A27EF5">
        <w:rPr>
          <w:sz w:val="22"/>
          <w:szCs w:val="22"/>
        </w:rPr>
        <w:t xml:space="preserve">asked </w:t>
      </w:r>
      <w:proofErr w:type="spellStart"/>
      <w:r w:rsidRPr="00A27EF5">
        <w:rPr>
          <w:sz w:val="22"/>
          <w:szCs w:val="22"/>
        </w:rPr>
        <w:t>Ivar’s</w:t>
      </w:r>
      <w:proofErr w:type="spellEnd"/>
      <w:r w:rsidRPr="00A27EF5">
        <w:rPr>
          <w:sz w:val="22"/>
          <w:szCs w:val="22"/>
        </w:rPr>
        <w:t xml:space="preserve"> to consider opening a Fish Bar in the new stadium.  The Mariners had seen the huge crowds that </w:t>
      </w:r>
      <w:proofErr w:type="spellStart"/>
      <w:r w:rsidRPr="00A27EF5">
        <w:rPr>
          <w:sz w:val="22"/>
          <w:szCs w:val="22"/>
        </w:rPr>
        <w:t>Ivar’s</w:t>
      </w:r>
      <w:proofErr w:type="spellEnd"/>
      <w:r w:rsidRPr="00A27EF5">
        <w:rPr>
          <w:sz w:val="22"/>
          <w:szCs w:val="22"/>
        </w:rPr>
        <w:t xml:space="preserve"> served at its walk-up Fish Bar on Pier 54 and thought that such a fish bar would work well in the ballpark.  </w:t>
      </w:r>
      <w:proofErr w:type="spellStart"/>
      <w:r w:rsidRPr="00A27EF5">
        <w:rPr>
          <w:sz w:val="22"/>
          <w:szCs w:val="22"/>
        </w:rPr>
        <w:t>Ivar’s</w:t>
      </w:r>
      <w:proofErr w:type="spellEnd"/>
      <w:r w:rsidRPr="00A27EF5">
        <w:rPr>
          <w:sz w:val="22"/>
          <w:szCs w:val="22"/>
        </w:rPr>
        <w:t xml:space="preserve"> agreed with the master concessionaire (</w:t>
      </w:r>
      <w:r w:rsidR="00080B83" w:rsidRPr="00A27EF5">
        <w:rPr>
          <w:sz w:val="22"/>
          <w:szCs w:val="22"/>
        </w:rPr>
        <w:t>Volume Services</w:t>
      </w:r>
      <w:r w:rsidRPr="00A27EF5">
        <w:rPr>
          <w:sz w:val="22"/>
          <w:szCs w:val="22"/>
        </w:rPr>
        <w:t>) at Safeco and opened two booths in the stadium.  On 15 July 1999, as the gates were opening and the fans entered the stadium for</w:t>
      </w:r>
      <w:r w:rsidR="003578E5" w:rsidRPr="00A27EF5">
        <w:rPr>
          <w:sz w:val="22"/>
          <w:szCs w:val="22"/>
        </w:rPr>
        <w:t xml:space="preserve"> the </w:t>
      </w:r>
      <w:r w:rsidRPr="00A27EF5">
        <w:rPr>
          <w:sz w:val="22"/>
          <w:szCs w:val="22"/>
        </w:rPr>
        <w:t xml:space="preserve">first professional game, Safeco’s cash register system failed throughout the stadium.  It was an omen for </w:t>
      </w:r>
      <w:proofErr w:type="spellStart"/>
      <w:r w:rsidRPr="00A27EF5">
        <w:rPr>
          <w:sz w:val="22"/>
          <w:szCs w:val="22"/>
        </w:rPr>
        <w:t>Ivar’s</w:t>
      </w:r>
      <w:proofErr w:type="spellEnd"/>
      <w:r w:rsidRPr="00A27EF5">
        <w:rPr>
          <w:sz w:val="22"/>
          <w:szCs w:val="22"/>
        </w:rPr>
        <w:t xml:space="preserve"> operations in stadiums.</w:t>
      </w:r>
    </w:p>
    <w:p w:rsidR="002F2E1D" w:rsidRPr="00A27EF5" w:rsidRDefault="002F2E1D">
      <w:pPr>
        <w:rPr>
          <w:sz w:val="22"/>
          <w:szCs w:val="22"/>
        </w:rPr>
      </w:pPr>
    </w:p>
    <w:p w:rsidR="002F2E1D" w:rsidRPr="00A27EF5" w:rsidRDefault="00604B38">
      <w:pPr>
        <w:rPr>
          <w:sz w:val="22"/>
          <w:szCs w:val="22"/>
        </w:rPr>
      </w:pPr>
      <w:r w:rsidRPr="00A27EF5">
        <w:rPr>
          <w:sz w:val="22"/>
          <w:szCs w:val="22"/>
        </w:rPr>
        <w:tab/>
        <w:t xml:space="preserve">However, by the end of the first season in the new park, </w:t>
      </w:r>
      <w:proofErr w:type="spellStart"/>
      <w:r w:rsidRPr="00A27EF5">
        <w:rPr>
          <w:sz w:val="22"/>
          <w:szCs w:val="22"/>
        </w:rPr>
        <w:t>Ivar’s</w:t>
      </w:r>
      <w:proofErr w:type="spellEnd"/>
      <w:r w:rsidRPr="00A27EF5">
        <w:rPr>
          <w:sz w:val="22"/>
          <w:szCs w:val="22"/>
        </w:rPr>
        <w:t xml:space="preserve"> two booths were the highest and second highest selling of </w:t>
      </w:r>
      <w:r w:rsidR="00080B83" w:rsidRPr="00A27EF5">
        <w:rPr>
          <w:sz w:val="22"/>
          <w:szCs w:val="22"/>
        </w:rPr>
        <w:t>68</w:t>
      </w:r>
      <w:r w:rsidRPr="00A27EF5">
        <w:rPr>
          <w:sz w:val="22"/>
          <w:szCs w:val="22"/>
        </w:rPr>
        <w:t xml:space="preserve"> booths in the stadium, and the Mariners asked </w:t>
      </w:r>
      <w:proofErr w:type="spellStart"/>
      <w:r w:rsidRPr="00A27EF5">
        <w:rPr>
          <w:sz w:val="22"/>
          <w:szCs w:val="22"/>
        </w:rPr>
        <w:t>Ivar’s</w:t>
      </w:r>
      <w:proofErr w:type="spellEnd"/>
      <w:r w:rsidRPr="00A27EF5">
        <w:rPr>
          <w:sz w:val="22"/>
          <w:szCs w:val="22"/>
        </w:rPr>
        <w:t xml:space="preserve"> to add its Kidd Valley hamburgers to the stadium.  At the end of the second season, </w:t>
      </w:r>
      <w:proofErr w:type="spellStart"/>
      <w:r w:rsidRPr="00A27EF5">
        <w:rPr>
          <w:sz w:val="22"/>
          <w:szCs w:val="22"/>
        </w:rPr>
        <w:t>Ivar’s</w:t>
      </w:r>
      <w:proofErr w:type="spellEnd"/>
      <w:r w:rsidRPr="00A27EF5">
        <w:rPr>
          <w:sz w:val="22"/>
          <w:szCs w:val="22"/>
        </w:rPr>
        <w:t xml:space="preserve"> and Kidd Valley booths were 1-2-3 and 4</w:t>
      </w:r>
      <w:r w:rsidRPr="00A27EF5">
        <w:rPr>
          <w:sz w:val="22"/>
          <w:szCs w:val="22"/>
          <w:vertAlign w:val="superscript"/>
        </w:rPr>
        <w:t>th</w:t>
      </w:r>
      <w:r w:rsidRPr="00A27EF5">
        <w:rPr>
          <w:sz w:val="22"/>
          <w:szCs w:val="22"/>
        </w:rPr>
        <w:t xml:space="preserve"> in volume in the stadium.</w:t>
      </w:r>
    </w:p>
    <w:p w:rsidR="002F2E1D" w:rsidRPr="00A27EF5" w:rsidRDefault="002F2E1D">
      <w:pPr>
        <w:rPr>
          <w:sz w:val="22"/>
          <w:szCs w:val="22"/>
        </w:rPr>
      </w:pPr>
    </w:p>
    <w:p w:rsidR="002F2E1D" w:rsidRPr="00010704" w:rsidRDefault="00604B38">
      <w:pPr>
        <w:rPr>
          <w:bCs/>
          <w:sz w:val="22"/>
          <w:szCs w:val="22"/>
          <w:u w:val="single"/>
        </w:rPr>
      </w:pPr>
      <w:r w:rsidRPr="00010704">
        <w:rPr>
          <w:bCs/>
          <w:sz w:val="22"/>
          <w:szCs w:val="22"/>
          <w:u w:val="single"/>
        </w:rPr>
        <w:t xml:space="preserve">Baseball Concessions – </w:t>
      </w:r>
      <w:proofErr w:type="spellStart"/>
      <w:r w:rsidRPr="00010704">
        <w:rPr>
          <w:bCs/>
          <w:sz w:val="22"/>
          <w:szCs w:val="22"/>
          <w:u w:val="single"/>
        </w:rPr>
        <w:t>Ivar’s</w:t>
      </w:r>
      <w:proofErr w:type="spellEnd"/>
      <w:r w:rsidRPr="00010704">
        <w:rPr>
          <w:bCs/>
          <w:sz w:val="22"/>
          <w:szCs w:val="22"/>
          <w:u w:val="single"/>
        </w:rPr>
        <w:t xml:space="preserve"> Experience and </w:t>
      </w:r>
      <w:r w:rsidR="003578E5" w:rsidRPr="00010704">
        <w:rPr>
          <w:bCs/>
          <w:sz w:val="22"/>
          <w:szCs w:val="22"/>
          <w:u w:val="single"/>
        </w:rPr>
        <w:t xml:space="preserve">Rules </w:t>
      </w:r>
      <w:r w:rsidRPr="00010704">
        <w:rPr>
          <w:bCs/>
          <w:sz w:val="22"/>
          <w:szCs w:val="22"/>
          <w:u w:val="single"/>
        </w:rPr>
        <w:t>of thumb</w:t>
      </w:r>
    </w:p>
    <w:p w:rsidR="002F2E1D" w:rsidRPr="00A27EF5" w:rsidRDefault="00604B38">
      <w:pPr>
        <w:rPr>
          <w:sz w:val="22"/>
          <w:szCs w:val="22"/>
        </w:rPr>
      </w:pPr>
      <w:r w:rsidRPr="00A27EF5">
        <w:rPr>
          <w:sz w:val="22"/>
          <w:szCs w:val="22"/>
        </w:rPr>
        <w:tab/>
        <w:t xml:space="preserve">With four years of experience with the Mariners, </w:t>
      </w:r>
      <w:proofErr w:type="spellStart"/>
      <w:r w:rsidRPr="00A27EF5">
        <w:rPr>
          <w:sz w:val="22"/>
          <w:szCs w:val="22"/>
        </w:rPr>
        <w:t>Ivar’s</w:t>
      </w:r>
      <w:proofErr w:type="spellEnd"/>
      <w:r w:rsidRPr="00A27EF5">
        <w:rPr>
          <w:sz w:val="22"/>
          <w:szCs w:val="22"/>
        </w:rPr>
        <w:t xml:space="preserve"> had learned one segment of the sports concession business.  It determined “Rules of Thumb” before opening at Safeco Field, and developed its budgets based on those rules.  For instance, a typical cash register in a typical stadium will sell $500 of food in a typical game, and will serve one customer every minute.  </w:t>
      </w:r>
      <w:proofErr w:type="spellStart"/>
      <w:r w:rsidRPr="00A27EF5">
        <w:rPr>
          <w:sz w:val="22"/>
          <w:szCs w:val="22"/>
        </w:rPr>
        <w:t>Ivar’s</w:t>
      </w:r>
      <w:proofErr w:type="spellEnd"/>
      <w:r w:rsidRPr="00A27EF5">
        <w:rPr>
          <w:sz w:val="22"/>
          <w:szCs w:val="22"/>
        </w:rPr>
        <w:t xml:space="preserve"> targets were to serve one customer every 30 seconds, and sell $1,000 for each register each game.  By the end of the first season, the company learned:</w:t>
      </w:r>
    </w:p>
    <w:p w:rsidR="002F2E1D" w:rsidRPr="00A27EF5" w:rsidRDefault="002F2E1D">
      <w:pPr>
        <w:rPr>
          <w:sz w:val="22"/>
          <w:szCs w:val="22"/>
        </w:rPr>
      </w:pPr>
    </w:p>
    <w:p w:rsidR="002F2E1D" w:rsidRPr="00A27EF5" w:rsidRDefault="00604B38">
      <w:pPr>
        <w:numPr>
          <w:ilvl w:val="0"/>
          <w:numId w:val="1"/>
        </w:numPr>
        <w:rPr>
          <w:sz w:val="22"/>
          <w:szCs w:val="22"/>
        </w:rPr>
      </w:pPr>
      <w:r w:rsidRPr="00A27EF5">
        <w:rPr>
          <w:sz w:val="22"/>
          <w:szCs w:val="22"/>
        </w:rPr>
        <w:t>80 percent of its total sales were completed by the end of the first inning</w:t>
      </w:r>
    </w:p>
    <w:p w:rsidR="007B0F2C" w:rsidRPr="00A27EF5" w:rsidRDefault="00604B38" w:rsidP="007B0F2C">
      <w:pPr>
        <w:numPr>
          <w:ilvl w:val="0"/>
          <w:numId w:val="1"/>
        </w:numPr>
        <w:rPr>
          <w:sz w:val="22"/>
          <w:szCs w:val="22"/>
        </w:rPr>
      </w:pPr>
      <w:r w:rsidRPr="00A27EF5">
        <w:rPr>
          <w:sz w:val="22"/>
          <w:szCs w:val="22"/>
        </w:rPr>
        <w:t xml:space="preserve">sales for night games were much better than sales of day games </w:t>
      </w:r>
    </w:p>
    <w:p w:rsidR="002F2E1D" w:rsidRPr="00A27EF5" w:rsidRDefault="00604B38" w:rsidP="007B0F2C">
      <w:pPr>
        <w:numPr>
          <w:ilvl w:val="0"/>
          <w:numId w:val="1"/>
        </w:numPr>
        <w:rPr>
          <w:sz w:val="22"/>
          <w:szCs w:val="22"/>
        </w:rPr>
      </w:pPr>
      <w:r w:rsidRPr="00A27EF5">
        <w:rPr>
          <w:sz w:val="22"/>
          <w:szCs w:val="22"/>
        </w:rPr>
        <w:t>the first game in a home</w:t>
      </w:r>
      <w:r w:rsidR="007C2A15" w:rsidRPr="00A27EF5">
        <w:rPr>
          <w:sz w:val="22"/>
          <w:szCs w:val="22"/>
        </w:rPr>
        <w:t xml:space="preserve"> </w:t>
      </w:r>
      <w:r w:rsidRPr="00A27EF5">
        <w:rPr>
          <w:sz w:val="22"/>
          <w:szCs w:val="22"/>
        </w:rPr>
        <w:t xml:space="preserve">stand often had the highest sales, since fans had not eaten ballpark food for the length of the team’s road trip </w:t>
      </w:r>
    </w:p>
    <w:p w:rsidR="002F2E1D" w:rsidRPr="00A27EF5" w:rsidRDefault="00604B38">
      <w:pPr>
        <w:numPr>
          <w:ilvl w:val="0"/>
          <w:numId w:val="1"/>
        </w:numPr>
        <w:rPr>
          <w:sz w:val="22"/>
          <w:szCs w:val="22"/>
        </w:rPr>
      </w:pPr>
      <w:r w:rsidRPr="00A27EF5">
        <w:rPr>
          <w:sz w:val="22"/>
          <w:szCs w:val="22"/>
        </w:rPr>
        <w:t>anything and everything can break, but will only do so at a critical time</w:t>
      </w:r>
    </w:p>
    <w:p w:rsidR="002F2E1D" w:rsidRPr="00A27EF5" w:rsidRDefault="00604B38">
      <w:pPr>
        <w:ind w:left="1440"/>
        <w:rPr>
          <w:sz w:val="22"/>
          <w:szCs w:val="22"/>
        </w:rPr>
      </w:pPr>
      <w:r w:rsidRPr="00A27EF5">
        <w:rPr>
          <w:sz w:val="22"/>
          <w:szCs w:val="22"/>
        </w:rPr>
        <w:t>(</w:t>
      </w:r>
      <w:proofErr w:type="gramStart"/>
      <w:r w:rsidRPr="00A27EF5">
        <w:rPr>
          <w:sz w:val="22"/>
          <w:szCs w:val="22"/>
        </w:rPr>
        <w:t>the</w:t>
      </w:r>
      <w:proofErr w:type="gramEnd"/>
      <w:r w:rsidRPr="00A27EF5">
        <w:rPr>
          <w:sz w:val="22"/>
          <w:szCs w:val="22"/>
        </w:rPr>
        <w:t xml:space="preserve"> lesson of the broken cash registers on 15 July 1999)</w:t>
      </w:r>
    </w:p>
    <w:p w:rsidR="002F2E1D" w:rsidRPr="00A27EF5" w:rsidRDefault="002F2E1D">
      <w:pPr>
        <w:rPr>
          <w:sz w:val="22"/>
          <w:szCs w:val="22"/>
        </w:rPr>
      </w:pPr>
    </w:p>
    <w:p w:rsidR="002F2E1D" w:rsidRPr="00A27EF5" w:rsidRDefault="00604B38">
      <w:pPr>
        <w:rPr>
          <w:sz w:val="22"/>
          <w:szCs w:val="22"/>
        </w:rPr>
      </w:pPr>
      <w:r w:rsidRPr="00A27EF5">
        <w:rPr>
          <w:sz w:val="22"/>
          <w:szCs w:val="22"/>
        </w:rPr>
        <w:lastRenderedPageBreak/>
        <w:tab/>
        <w:t xml:space="preserve">In 1999, when </w:t>
      </w:r>
      <w:proofErr w:type="spellStart"/>
      <w:r w:rsidRPr="00A27EF5">
        <w:rPr>
          <w:sz w:val="22"/>
          <w:szCs w:val="22"/>
        </w:rPr>
        <w:t>Ivar’s</w:t>
      </w:r>
      <w:proofErr w:type="spellEnd"/>
      <w:r w:rsidRPr="00A27EF5">
        <w:rPr>
          <w:sz w:val="22"/>
          <w:szCs w:val="22"/>
        </w:rPr>
        <w:t xml:space="preserve"> opened at Safeco Field, 40 percent of residents in Puget Sound had lived in the area fewer than three years—they didn’t know the stories</w:t>
      </w:r>
      <w:r w:rsidR="00080B83" w:rsidRPr="00A27EF5">
        <w:rPr>
          <w:sz w:val="22"/>
          <w:szCs w:val="22"/>
        </w:rPr>
        <w:t xml:space="preserve"> about </w:t>
      </w:r>
      <w:proofErr w:type="spellStart"/>
      <w:r w:rsidR="00080B83" w:rsidRPr="00A27EF5">
        <w:rPr>
          <w:sz w:val="22"/>
          <w:szCs w:val="22"/>
        </w:rPr>
        <w:t>Ivar’s</w:t>
      </w:r>
      <w:proofErr w:type="spellEnd"/>
      <w:r w:rsidRPr="00A27EF5">
        <w:rPr>
          <w:sz w:val="22"/>
          <w:szCs w:val="22"/>
        </w:rPr>
        <w:t xml:space="preserve">, nor had they seen </w:t>
      </w:r>
      <w:proofErr w:type="spellStart"/>
      <w:r w:rsidRPr="00A27EF5">
        <w:rPr>
          <w:sz w:val="22"/>
          <w:szCs w:val="22"/>
        </w:rPr>
        <w:t>Ivar’s</w:t>
      </w:r>
      <w:proofErr w:type="spellEnd"/>
      <w:r w:rsidRPr="00A27EF5">
        <w:rPr>
          <w:sz w:val="22"/>
          <w:szCs w:val="22"/>
        </w:rPr>
        <w:t xml:space="preserve"> Dancing Clams.  </w:t>
      </w:r>
      <w:proofErr w:type="spellStart"/>
      <w:r w:rsidR="00080B83" w:rsidRPr="00A27EF5">
        <w:rPr>
          <w:sz w:val="22"/>
          <w:szCs w:val="22"/>
        </w:rPr>
        <w:t>Ivar’s</w:t>
      </w:r>
      <w:proofErr w:type="spellEnd"/>
      <w:r w:rsidR="00080B83" w:rsidRPr="00A27EF5">
        <w:rPr>
          <w:sz w:val="22"/>
          <w:szCs w:val="22"/>
        </w:rPr>
        <w:t xml:space="preserve"> saw s</w:t>
      </w:r>
      <w:r w:rsidRPr="00A27EF5">
        <w:rPr>
          <w:sz w:val="22"/>
          <w:szCs w:val="22"/>
        </w:rPr>
        <w:t xml:space="preserve">tadiums were seen as a means to market its brands.  </w:t>
      </w:r>
      <w:proofErr w:type="spellStart"/>
      <w:r w:rsidRPr="00A27EF5">
        <w:rPr>
          <w:sz w:val="22"/>
          <w:szCs w:val="22"/>
        </w:rPr>
        <w:t>Ivar’s</w:t>
      </w:r>
      <w:proofErr w:type="spellEnd"/>
      <w:r w:rsidRPr="00A27EF5">
        <w:rPr>
          <w:sz w:val="22"/>
          <w:szCs w:val="22"/>
        </w:rPr>
        <w:t xml:space="preserve"> goal in operating in stadiums was NOT to make money, but rather to introduce potential customers to its food so they would seek </w:t>
      </w:r>
      <w:proofErr w:type="spellStart"/>
      <w:r w:rsidRPr="00A27EF5">
        <w:rPr>
          <w:sz w:val="22"/>
          <w:szCs w:val="22"/>
        </w:rPr>
        <w:t>Ivar’s</w:t>
      </w:r>
      <w:proofErr w:type="spellEnd"/>
      <w:r w:rsidRPr="00A27EF5">
        <w:rPr>
          <w:sz w:val="22"/>
          <w:szCs w:val="22"/>
        </w:rPr>
        <w:t xml:space="preserve"> or Kidd Valley locations near their homes.  </w:t>
      </w:r>
    </w:p>
    <w:p w:rsidR="002F2E1D" w:rsidRPr="00A27EF5" w:rsidRDefault="002F2E1D">
      <w:pPr>
        <w:rPr>
          <w:sz w:val="22"/>
          <w:szCs w:val="22"/>
        </w:rPr>
      </w:pPr>
    </w:p>
    <w:p w:rsidR="002F2E1D" w:rsidRPr="00A27EF5" w:rsidRDefault="00604B38">
      <w:pPr>
        <w:ind w:firstLine="720"/>
        <w:rPr>
          <w:sz w:val="22"/>
          <w:szCs w:val="22"/>
        </w:rPr>
      </w:pPr>
      <w:r w:rsidRPr="00A27EF5">
        <w:rPr>
          <w:sz w:val="22"/>
          <w:szCs w:val="22"/>
        </w:rPr>
        <w:t xml:space="preserve">To meet this goal, the company had to produce fresh food (as good as its restaurants), quickly (as quick as its Pier 54 Fish Bar on the Seattle waterfront), with </w:t>
      </w:r>
      <w:r w:rsidR="00080B83" w:rsidRPr="00A27EF5">
        <w:rPr>
          <w:sz w:val="22"/>
          <w:szCs w:val="22"/>
        </w:rPr>
        <w:t xml:space="preserve">its usual </w:t>
      </w:r>
      <w:r w:rsidRPr="00A27EF5">
        <w:rPr>
          <w:sz w:val="22"/>
          <w:szCs w:val="22"/>
        </w:rPr>
        <w:t>friendly service.   Making a profit was less important than making good experiences for fans.</w:t>
      </w:r>
    </w:p>
    <w:p w:rsidR="002F2E1D" w:rsidRPr="00A27EF5" w:rsidRDefault="002F2E1D">
      <w:pPr>
        <w:ind w:left="1080"/>
        <w:rPr>
          <w:sz w:val="22"/>
          <w:szCs w:val="22"/>
        </w:rPr>
      </w:pPr>
    </w:p>
    <w:p w:rsidR="002F2E1D" w:rsidRPr="00A27EF5" w:rsidRDefault="00604B38">
      <w:pPr>
        <w:rPr>
          <w:sz w:val="22"/>
          <w:szCs w:val="22"/>
        </w:rPr>
      </w:pPr>
      <w:r w:rsidRPr="00A27EF5">
        <w:rPr>
          <w:sz w:val="22"/>
          <w:szCs w:val="22"/>
        </w:rPr>
        <w:tab/>
      </w:r>
      <w:proofErr w:type="spellStart"/>
      <w:r w:rsidRPr="00A27EF5">
        <w:rPr>
          <w:sz w:val="22"/>
          <w:szCs w:val="22"/>
        </w:rPr>
        <w:t>Ivar’s</w:t>
      </w:r>
      <w:proofErr w:type="spellEnd"/>
      <w:r w:rsidRPr="00A27EF5">
        <w:rPr>
          <w:sz w:val="22"/>
          <w:szCs w:val="22"/>
        </w:rPr>
        <w:t xml:space="preserve"> success at Safeco was clear—it operated the six highest volume stands, its Grounder Garlic Fries were the most popular food in the park with one of every 10 fans eating them each game, and the company’s market research said those fans found their way to the company’s stores.  It beat its goals and sold an average of $2,200 per register per game, and served one customer every 22 seconds, on average.</w:t>
      </w:r>
    </w:p>
    <w:p w:rsidR="002F2E1D" w:rsidRPr="00A27EF5" w:rsidRDefault="002F2E1D">
      <w:pPr>
        <w:rPr>
          <w:sz w:val="22"/>
          <w:szCs w:val="22"/>
        </w:rPr>
      </w:pPr>
    </w:p>
    <w:p w:rsidR="002F2E1D" w:rsidRPr="00A27EF5" w:rsidRDefault="00604B38">
      <w:pPr>
        <w:rPr>
          <w:bCs/>
          <w:sz w:val="22"/>
          <w:szCs w:val="22"/>
        </w:rPr>
      </w:pPr>
      <w:r w:rsidRPr="00A27EF5">
        <w:rPr>
          <w:bCs/>
          <w:sz w:val="22"/>
          <w:szCs w:val="22"/>
        </w:rPr>
        <w:t>Some Data—Safeco Field</w:t>
      </w:r>
    </w:p>
    <w:p w:rsidR="002F2E1D" w:rsidRPr="00A27EF5" w:rsidRDefault="00604B38">
      <w:pPr>
        <w:ind w:firstLine="720"/>
        <w:rPr>
          <w:sz w:val="22"/>
          <w:szCs w:val="22"/>
        </w:rPr>
      </w:pPr>
      <w:r w:rsidRPr="00A27EF5">
        <w:rPr>
          <w:sz w:val="22"/>
          <w:szCs w:val="22"/>
        </w:rPr>
        <w:t>Seating capacity</w:t>
      </w:r>
      <w:r w:rsidRPr="00A27EF5">
        <w:rPr>
          <w:sz w:val="22"/>
          <w:szCs w:val="22"/>
        </w:rPr>
        <w:tab/>
      </w:r>
      <w:r w:rsidRPr="00A27EF5">
        <w:rPr>
          <w:sz w:val="22"/>
          <w:szCs w:val="22"/>
        </w:rPr>
        <w:tab/>
        <w:t>47,116</w:t>
      </w:r>
    </w:p>
    <w:p w:rsidR="002F2E1D" w:rsidRPr="00A27EF5" w:rsidRDefault="00604B38">
      <w:pPr>
        <w:ind w:firstLine="720"/>
        <w:rPr>
          <w:rFonts w:ascii="Arial" w:hAnsi="Arial" w:cs="Arial"/>
          <w:sz w:val="22"/>
          <w:szCs w:val="22"/>
        </w:rPr>
      </w:pPr>
      <w:r w:rsidRPr="00A27EF5">
        <w:rPr>
          <w:sz w:val="22"/>
          <w:szCs w:val="22"/>
        </w:rPr>
        <w:t>Concession booths</w:t>
      </w:r>
      <w:r w:rsidRPr="00A27EF5">
        <w:rPr>
          <w:sz w:val="22"/>
          <w:szCs w:val="22"/>
        </w:rPr>
        <w:tab/>
      </w:r>
      <w:r w:rsidRPr="00A27EF5">
        <w:rPr>
          <w:sz w:val="22"/>
          <w:szCs w:val="22"/>
        </w:rPr>
        <w:tab/>
        <w:t>6</w:t>
      </w:r>
      <w:r w:rsidR="00080B83" w:rsidRPr="00A27EF5">
        <w:rPr>
          <w:sz w:val="22"/>
          <w:szCs w:val="22"/>
        </w:rPr>
        <w:t>8</w:t>
      </w:r>
      <w:r w:rsidRPr="00A27EF5">
        <w:rPr>
          <w:sz w:val="22"/>
          <w:szCs w:val="22"/>
        </w:rPr>
        <w:t xml:space="preserve"> (</w:t>
      </w:r>
      <w:r w:rsidRPr="009A1BBB">
        <w:rPr>
          <w:sz w:val="22"/>
          <w:szCs w:val="22"/>
        </w:rPr>
        <w:t>food stands, 26 kiosks, one restaurant and one pub)</w:t>
      </w:r>
    </w:p>
    <w:p w:rsidR="00416DB7" w:rsidRPr="00010704" w:rsidRDefault="00416DB7" w:rsidP="00416DB7">
      <w:pPr>
        <w:ind w:left="720"/>
        <w:rPr>
          <w:sz w:val="22"/>
          <w:szCs w:val="22"/>
          <w:u w:val="single"/>
        </w:rPr>
      </w:pPr>
    </w:p>
    <w:p w:rsidR="00E43252" w:rsidRPr="00010704" w:rsidRDefault="00604B38">
      <w:pPr>
        <w:rPr>
          <w:sz w:val="22"/>
          <w:szCs w:val="22"/>
          <w:u w:val="single"/>
        </w:rPr>
      </w:pPr>
      <w:r w:rsidRPr="00010704">
        <w:rPr>
          <w:sz w:val="22"/>
          <w:szCs w:val="22"/>
          <w:u w:val="single"/>
        </w:rPr>
        <w:t xml:space="preserve">Qwest Field (Football) and </w:t>
      </w:r>
      <w:proofErr w:type="spellStart"/>
      <w:r w:rsidRPr="00010704">
        <w:rPr>
          <w:sz w:val="22"/>
          <w:szCs w:val="22"/>
          <w:u w:val="single"/>
        </w:rPr>
        <w:t>Ivar’s</w:t>
      </w:r>
      <w:proofErr w:type="spellEnd"/>
      <w:r w:rsidRPr="00010704">
        <w:rPr>
          <w:sz w:val="22"/>
          <w:szCs w:val="22"/>
          <w:u w:val="single"/>
        </w:rPr>
        <w:t xml:space="preserve"> </w:t>
      </w:r>
      <w:r w:rsidR="005E2CC0" w:rsidRPr="00010704">
        <w:rPr>
          <w:sz w:val="22"/>
          <w:szCs w:val="22"/>
          <w:u w:val="single"/>
        </w:rPr>
        <w:t>Next Step</w:t>
      </w:r>
      <w:r w:rsidRPr="00010704">
        <w:rPr>
          <w:sz w:val="22"/>
          <w:szCs w:val="22"/>
          <w:u w:val="single"/>
        </w:rPr>
        <w:t xml:space="preserve">  </w:t>
      </w:r>
    </w:p>
    <w:p w:rsidR="002F2E1D" w:rsidRDefault="00604B38">
      <w:pPr>
        <w:rPr>
          <w:sz w:val="22"/>
          <w:szCs w:val="22"/>
        </w:rPr>
      </w:pPr>
      <w:r w:rsidRPr="00A27EF5">
        <w:rPr>
          <w:sz w:val="22"/>
          <w:szCs w:val="22"/>
        </w:rPr>
        <w:t xml:space="preserve">In 2001, the Seahawks and </w:t>
      </w:r>
      <w:proofErr w:type="spellStart"/>
      <w:r w:rsidRPr="00A27EF5">
        <w:rPr>
          <w:sz w:val="22"/>
          <w:szCs w:val="22"/>
        </w:rPr>
        <w:t>Aramark</w:t>
      </w:r>
      <w:proofErr w:type="spellEnd"/>
      <w:r w:rsidRPr="00A27EF5">
        <w:rPr>
          <w:sz w:val="22"/>
          <w:szCs w:val="22"/>
        </w:rPr>
        <w:t xml:space="preserve"> asked </w:t>
      </w:r>
      <w:proofErr w:type="spellStart"/>
      <w:r w:rsidRPr="00A27EF5">
        <w:rPr>
          <w:sz w:val="22"/>
          <w:szCs w:val="22"/>
        </w:rPr>
        <w:t>Ivar’s</w:t>
      </w:r>
      <w:proofErr w:type="spellEnd"/>
      <w:r w:rsidRPr="00A27EF5">
        <w:rPr>
          <w:sz w:val="22"/>
          <w:szCs w:val="22"/>
        </w:rPr>
        <w:t xml:space="preserve"> to consider opening booths in Qwest Field, then under construction.  The companies were not able to come to an agreement, and the Seahawks opened without </w:t>
      </w:r>
      <w:proofErr w:type="spellStart"/>
      <w:r w:rsidRPr="00A27EF5">
        <w:rPr>
          <w:sz w:val="22"/>
          <w:szCs w:val="22"/>
        </w:rPr>
        <w:t>Ivar’s</w:t>
      </w:r>
      <w:proofErr w:type="spellEnd"/>
      <w:r w:rsidRPr="00A27EF5">
        <w:rPr>
          <w:sz w:val="22"/>
          <w:szCs w:val="22"/>
        </w:rPr>
        <w:t xml:space="preserve">.  However, after the first three seasons, the Seahawks’ new president, </w:t>
      </w:r>
      <w:proofErr w:type="spellStart"/>
      <w:r w:rsidRPr="00A27EF5">
        <w:rPr>
          <w:sz w:val="22"/>
          <w:szCs w:val="22"/>
        </w:rPr>
        <w:t>Tod</w:t>
      </w:r>
      <w:proofErr w:type="spellEnd"/>
      <w:r w:rsidRPr="00A27EF5">
        <w:rPr>
          <w:sz w:val="22"/>
          <w:szCs w:val="22"/>
        </w:rPr>
        <w:t xml:space="preserve"> </w:t>
      </w:r>
      <w:proofErr w:type="spellStart"/>
      <w:r w:rsidRPr="00A27EF5">
        <w:rPr>
          <w:sz w:val="22"/>
          <w:szCs w:val="22"/>
        </w:rPr>
        <w:t>Leiweke</w:t>
      </w:r>
      <w:proofErr w:type="spellEnd"/>
      <w:r w:rsidRPr="00A27EF5">
        <w:rPr>
          <w:sz w:val="22"/>
          <w:szCs w:val="22"/>
        </w:rPr>
        <w:t xml:space="preserve">, was disappointed in the poor comments from customers about food quality and speed of service, and the low sales of food and beverage per fan in the stadium, and again asked </w:t>
      </w:r>
      <w:proofErr w:type="spellStart"/>
      <w:r w:rsidRPr="00A27EF5">
        <w:rPr>
          <w:sz w:val="22"/>
          <w:szCs w:val="22"/>
        </w:rPr>
        <w:t>Ivar’s</w:t>
      </w:r>
      <w:proofErr w:type="spellEnd"/>
      <w:r w:rsidRPr="00A27EF5">
        <w:rPr>
          <w:sz w:val="22"/>
          <w:szCs w:val="22"/>
        </w:rPr>
        <w:t xml:space="preserve"> to consider opening booths at Qwest Field.  </w:t>
      </w:r>
      <w:proofErr w:type="spellStart"/>
      <w:r w:rsidRPr="00A27EF5">
        <w:rPr>
          <w:sz w:val="22"/>
          <w:szCs w:val="22"/>
        </w:rPr>
        <w:t>Ivar’s</w:t>
      </w:r>
      <w:proofErr w:type="spellEnd"/>
      <w:r w:rsidRPr="00A27EF5">
        <w:rPr>
          <w:sz w:val="22"/>
          <w:szCs w:val="22"/>
        </w:rPr>
        <w:t xml:space="preserve"> agreed, so, as of Valentine’s Day, 2004, Walt </w:t>
      </w:r>
      <w:proofErr w:type="spellStart"/>
      <w:r w:rsidRPr="00A27EF5">
        <w:rPr>
          <w:sz w:val="22"/>
          <w:szCs w:val="22"/>
        </w:rPr>
        <w:t>Pillman</w:t>
      </w:r>
      <w:proofErr w:type="spellEnd"/>
      <w:r w:rsidRPr="00A27EF5">
        <w:rPr>
          <w:sz w:val="22"/>
          <w:szCs w:val="22"/>
        </w:rPr>
        <w:t xml:space="preserve"> of </w:t>
      </w:r>
      <w:proofErr w:type="spellStart"/>
      <w:r w:rsidRPr="00A27EF5">
        <w:rPr>
          <w:sz w:val="22"/>
          <w:szCs w:val="22"/>
        </w:rPr>
        <w:t>Ivar’s</w:t>
      </w:r>
      <w:proofErr w:type="spellEnd"/>
      <w:r w:rsidRPr="00A27EF5">
        <w:rPr>
          <w:sz w:val="22"/>
          <w:szCs w:val="22"/>
        </w:rPr>
        <w:t xml:space="preserve"> had five months to launch </w:t>
      </w:r>
      <w:proofErr w:type="spellStart"/>
      <w:r w:rsidRPr="00A27EF5">
        <w:rPr>
          <w:sz w:val="22"/>
          <w:szCs w:val="22"/>
        </w:rPr>
        <w:t>Ivar’s</w:t>
      </w:r>
      <w:proofErr w:type="spellEnd"/>
      <w:r w:rsidRPr="00A27EF5">
        <w:rPr>
          <w:sz w:val="22"/>
          <w:szCs w:val="22"/>
        </w:rPr>
        <w:t xml:space="preserve"> in Qwest Field.  Five months to plan booths, menus, pricing, </w:t>
      </w:r>
      <w:r w:rsidR="00080B83" w:rsidRPr="00A27EF5">
        <w:rPr>
          <w:sz w:val="22"/>
          <w:szCs w:val="22"/>
        </w:rPr>
        <w:t>hire 200 employees,</w:t>
      </w:r>
      <w:r w:rsidRPr="00A27EF5">
        <w:rPr>
          <w:sz w:val="22"/>
          <w:szCs w:val="22"/>
        </w:rPr>
        <w:t xml:space="preserve"> and get ready for the first event.</w:t>
      </w:r>
    </w:p>
    <w:p w:rsidR="00010704" w:rsidRDefault="00010704">
      <w:pPr>
        <w:rPr>
          <w:sz w:val="22"/>
          <w:szCs w:val="22"/>
        </w:rPr>
      </w:pPr>
    </w:p>
    <w:p w:rsidR="002F2E1D" w:rsidRPr="00A27EF5" w:rsidRDefault="00E43252">
      <w:pPr>
        <w:rPr>
          <w:sz w:val="22"/>
          <w:szCs w:val="22"/>
        </w:rPr>
      </w:pPr>
      <w:r w:rsidRPr="00A27EF5">
        <w:rPr>
          <w:sz w:val="22"/>
          <w:szCs w:val="22"/>
        </w:rPr>
        <w:t xml:space="preserve">But </w:t>
      </w:r>
      <w:r w:rsidR="00604B38" w:rsidRPr="00A27EF5">
        <w:rPr>
          <w:sz w:val="22"/>
          <w:szCs w:val="22"/>
        </w:rPr>
        <w:t>football was an entirely different game</w:t>
      </w:r>
      <w:r w:rsidRPr="00A27EF5">
        <w:rPr>
          <w:sz w:val="22"/>
          <w:szCs w:val="22"/>
        </w:rPr>
        <w:t xml:space="preserve"> than baseball</w:t>
      </w:r>
      <w:r w:rsidR="00604B38" w:rsidRPr="00A27EF5">
        <w:rPr>
          <w:sz w:val="22"/>
          <w:szCs w:val="22"/>
        </w:rPr>
        <w:t xml:space="preserve">, and </w:t>
      </w:r>
      <w:proofErr w:type="spellStart"/>
      <w:r w:rsidR="00604B38" w:rsidRPr="00A27EF5">
        <w:rPr>
          <w:sz w:val="22"/>
          <w:szCs w:val="22"/>
        </w:rPr>
        <w:t>Ivar’s</w:t>
      </w:r>
      <w:proofErr w:type="spellEnd"/>
      <w:r w:rsidR="00604B38" w:rsidRPr="00A27EF5">
        <w:rPr>
          <w:sz w:val="22"/>
          <w:szCs w:val="22"/>
        </w:rPr>
        <w:t xml:space="preserve"> knew little ab</w:t>
      </w:r>
      <w:r w:rsidRPr="00A27EF5">
        <w:rPr>
          <w:sz w:val="22"/>
          <w:szCs w:val="22"/>
        </w:rPr>
        <w:t>o</w:t>
      </w:r>
      <w:r w:rsidR="00604B38" w:rsidRPr="00A27EF5">
        <w:rPr>
          <w:sz w:val="22"/>
          <w:szCs w:val="22"/>
        </w:rPr>
        <w:t>ut how to operate in a football stadium.  As Walt met with his management team, he was especially concerned about:</w:t>
      </w:r>
    </w:p>
    <w:p w:rsidR="002F2E1D" w:rsidRPr="00A27EF5" w:rsidRDefault="00604B38">
      <w:pPr>
        <w:numPr>
          <w:ilvl w:val="0"/>
          <w:numId w:val="2"/>
        </w:numPr>
        <w:rPr>
          <w:sz w:val="22"/>
          <w:szCs w:val="22"/>
        </w:rPr>
      </w:pPr>
      <w:r w:rsidRPr="00A27EF5">
        <w:rPr>
          <w:sz w:val="22"/>
          <w:szCs w:val="22"/>
        </w:rPr>
        <w:t xml:space="preserve">which of 47 concession booths to select for </w:t>
      </w:r>
      <w:proofErr w:type="spellStart"/>
      <w:r w:rsidRPr="00A27EF5">
        <w:rPr>
          <w:sz w:val="22"/>
          <w:szCs w:val="22"/>
        </w:rPr>
        <w:t>Ivar’s</w:t>
      </w:r>
      <w:proofErr w:type="spellEnd"/>
      <w:r w:rsidRPr="00A27EF5">
        <w:rPr>
          <w:sz w:val="22"/>
          <w:szCs w:val="22"/>
        </w:rPr>
        <w:t xml:space="preserve"> and Kidd Valley</w:t>
      </w:r>
    </w:p>
    <w:p w:rsidR="002F2E1D" w:rsidRPr="00A27EF5" w:rsidRDefault="00604B38">
      <w:pPr>
        <w:numPr>
          <w:ilvl w:val="0"/>
          <w:numId w:val="2"/>
        </w:numPr>
        <w:rPr>
          <w:sz w:val="22"/>
          <w:szCs w:val="22"/>
        </w:rPr>
      </w:pPr>
      <w:r w:rsidRPr="00A27EF5">
        <w:rPr>
          <w:sz w:val="22"/>
          <w:szCs w:val="22"/>
        </w:rPr>
        <w:t xml:space="preserve">what equipment was in place and </w:t>
      </w:r>
      <w:r w:rsidR="001622C9" w:rsidRPr="00A27EF5">
        <w:rPr>
          <w:sz w:val="22"/>
          <w:szCs w:val="22"/>
        </w:rPr>
        <w:t xml:space="preserve">how </w:t>
      </w:r>
      <w:r w:rsidRPr="00A27EF5">
        <w:rPr>
          <w:sz w:val="22"/>
          <w:szCs w:val="22"/>
        </w:rPr>
        <w:t xml:space="preserve">the kitchens </w:t>
      </w:r>
      <w:r w:rsidR="001622C9" w:rsidRPr="00A27EF5">
        <w:rPr>
          <w:sz w:val="22"/>
          <w:szCs w:val="22"/>
        </w:rPr>
        <w:t xml:space="preserve">were laid out </w:t>
      </w:r>
      <w:r w:rsidRPr="00A27EF5">
        <w:rPr>
          <w:sz w:val="22"/>
          <w:szCs w:val="22"/>
        </w:rPr>
        <w:t>in the booths</w:t>
      </w:r>
    </w:p>
    <w:p w:rsidR="002F2E1D" w:rsidRPr="00A27EF5" w:rsidRDefault="00604B38">
      <w:pPr>
        <w:numPr>
          <w:ilvl w:val="0"/>
          <w:numId w:val="2"/>
        </w:numPr>
        <w:rPr>
          <w:sz w:val="22"/>
          <w:szCs w:val="22"/>
        </w:rPr>
      </w:pPr>
      <w:r w:rsidRPr="00A27EF5">
        <w:rPr>
          <w:sz w:val="22"/>
          <w:szCs w:val="22"/>
        </w:rPr>
        <w:t>the pattern of sales at a football game compared with a baseball game</w:t>
      </w:r>
    </w:p>
    <w:p w:rsidR="002F2E1D" w:rsidRPr="00A27EF5" w:rsidRDefault="00604B38">
      <w:pPr>
        <w:numPr>
          <w:ilvl w:val="0"/>
          <w:numId w:val="2"/>
        </w:numPr>
        <w:rPr>
          <w:sz w:val="22"/>
          <w:szCs w:val="22"/>
        </w:rPr>
      </w:pPr>
      <w:proofErr w:type="gramStart"/>
      <w:r w:rsidRPr="00A27EF5">
        <w:rPr>
          <w:sz w:val="22"/>
          <w:szCs w:val="22"/>
        </w:rPr>
        <w:t>what</w:t>
      </w:r>
      <w:proofErr w:type="gramEnd"/>
      <w:r w:rsidRPr="00A27EF5">
        <w:rPr>
          <w:sz w:val="22"/>
          <w:szCs w:val="22"/>
        </w:rPr>
        <w:t xml:space="preserve"> mix of product that would be sold  (beer, beverages, entrees?)</w:t>
      </w:r>
    </w:p>
    <w:p w:rsidR="002F2E1D" w:rsidRPr="00A27EF5" w:rsidRDefault="00604B38">
      <w:pPr>
        <w:numPr>
          <w:ilvl w:val="0"/>
          <w:numId w:val="2"/>
        </w:numPr>
        <w:rPr>
          <w:sz w:val="22"/>
          <w:szCs w:val="22"/>
        </w:rPr>
      </w:pPr>
      <w:r w:rsidRPr="00A27EF5">
        <w:rPr>
          <w:sz w:val="22"/>
          <w:szCs w:val="22"/>
        </w:rPr>
        <w:t>the effect of winter weather on sales compared to baseball weather</w:t>
      </w:r>
    </w:p>
    <w:p w:rsidR="002F2E1D" w:rsidRPr="00853137" w:rsidRDefault="00604B38">
      <w:pPr>
        <w:rPr>
          <w:bCs/>
          <w:sz w:val="22"/>
          <w:szCs w:val="22"/>
          <w:u w:val="single"/>
        </w:rPr>
      </w:pPr>
      <w:r w:rsidRPr="00853137">
        <w:rPr>
          <w:bCs/>
          <w:sz w:val="22"/>
          <w:szCs w:val="22"/>
          <w:u w:val="single"/>
        </w:rPr>
        <w:t>Some Data—Qwest Field</w:t>
      </w:r>
    </w:p>
    <w:p w:rsidR="002F2E1D" w:rsidRPr="00A27EF5" w:rsidRDefault="00604B38">
      <w:pPr>
        <w:ind w:firstLine="720"/>
        <w:rPr>
          <w:sz w:val="22"/>
          <w:szCs w:val="22"/>
        </w:rPr>
      </w:pPr>
      <w:r w:rsidRPr="00A27EF5">
        <w:rPr>
          <w:sz w:val="22"/>
          <w:szCs w:val="22"/>
        </w:rPr>
        <w:t>Seating capacity</w:t>
      </w:r>
      <w:r w:rsidRPr="00A27EF5">
        <w:rPr>
          <w:sz w:val="22"/>
          <w:szCs w:val="22"/>
        </w:rPr>
        <w:tab/>
      </w:r>
      <w:r w:rsidRPr="00A27EF5">
        <w:rPr>
          <w:sz w:val="22"/>
          <w:szCs w:val="22"/>
        </w:rPr>
        <w:tab/>
        <w:t>66,000 expandable to 72,000 for Super Bowl</w:t>
      </w:r>
    </w:p>
    <w:p w:rsidR="002F2E1D" w:rsidRPr="00A27EF5" w:rsidRDefault="00604B38">
      <w:pPr>
        <w:ind w:firstLine="720"/>
        <w:rPr>
          <w:sz w:val="22"/>
          <w:szCs w:val="22"/>
        </w:rPr>
      </w:pPr>
      <w:r w:rsidRPr="00A27EF5">
        <w:rPr>
          <w:sz w:val="22"/>
          <w:szCs w:val="22"/>
        </w:rPr>
        <w:t>Concession booths</w:t>
      </w:r>
      <w:r w:rsidRPr="00A27EF5">
        <w:rPr>
          <w:sz w:val="22"/>
          <w:szCs w:val="22"/>
        </w:rPr>
        <w:tab/>
      </w:r>
      <w:r w:rsidRPr="00A27EF5">
        <w:rPr>
          <w:sz w:val="22"/>
          <w:szCs w:val="22"/>
        </w:rPr>
        <w:tab/>
        <w:t>47</w:t>
      </w:r>
    </w:p>
    <w:p w:rsidR="002F2E1D" w:rsidRPr="00A27EF5" w:rsidRDefault="00604B38">
      <w:pPr>
        <w:ind w:firstLine="720"/>
        <w:rPr>
          <w:sz w:val="22"/>
          <w:szCs w:val="22"/>
        </w:rPr>
      </w:pPr>
      <w:r w:rsidRPr="00A27EF5">
        <w:rPr>
          <w:sz w:val="22"/>
          <w:szCs w:val="22"/>
        </w:rPr>
        <w:t># Booths with Exhaust Hoods</w:t>
      </w:r>
      <w:r w:rsidRPr="00A27EF5">
        <w:rPr>
          <w:sz w:val="22"/>
          <w:szCs w:val="22"/>
        </w:rPr>
        <w:tab/>
        <w:t xml:space="preserve">   6     Allows cooking in the booth</w:t>
      </w:r>
    </w:p>
    <w:p w:rsidR="002F2E1D" w:rsidRPr="00A27EF5" w:rsidRDefault="00604B38">
      <w:pPr>
        <w:ind w:firstLine="720"/>
        <w:rPr>
          <w:sz w:val="22"/>
          <w:szCs w:val="22"/>
        </w:rPr>
      </w:pPr>
      <w:r w:rsidRPr="00A27EF5">
        <w:rPr>
          <w:sz w:val="22"/>
          <w:szCs w:val="22"/>
        </w:rPr>
        <w:t>Fryers per booth</w:t>
      </w:r>
      <w:r w:rsidRPr="00A27EF5">
        <w:rPr>
          <w:sz w:val="22"/>
          <w:szCs w:val="22"/>
        </w:rPr>
        <w:tab/>
      </w:r>
      <w:r w:rsidRPr="00A27EF5">
        <w:rPr>
          <w:sz w:val="22"/>
          <w:szCs w:val="22"/>
        </w:rPr>
        <w:tab/>
        <w:t xml:space="preserve">   3</w:t>
      </w:r>
    </w:p>
    <w:p w:rsidR="002F2E1D" w:rsidRPr="00A27EF5" w:rsidRDefault="00604B38">
      <w:pPr>
        <w:ind w:firstLine="720"/>
        <w:rPr>
          <w:sz w:val="22"/>
          <w:szCs w:val="22"/>
        </w:rPr>
      </w:pPr>
      <w:r w:rsidRPr="00A27EF5">
        <w:rPr>
          <w:sz w:val="22"/>
          <w:szCs w:val="22"/>
        </w:rPr>
        <w:t>Sales per booth average</w:t>
      </w:r>
      <w:r w:rsidRPr="00A27EF5">
        <w:rPr>
          <w:sz w:val="22"/>
          <w:szCs w:val="22"/>
        </w:rPr>
        <w:tab/>
      </w:r>
      <w:r w:rsidRPr="00A27EF5">
        <w:rPr>
          <w:sz w:val="22"/>
          <w:szCs w:val="22"/>
        </w:rPr>
        <w:tab/>
        <w:t>$12,000</w:t>
      </w:r>
    </w:p>
    <w:p w:rsidR="002F2E1D" w:rsidRPr="00A27EF5" w:rsidRDefault="00604B38" w:rsidP="007C2A15">
      <w:pPr>
        <w:ind w:firstLine="720"/>
        <w:rPr>
          <w:sz w:val="22"/>
          <w:szCs w:val="22"/>
        </w:rPr>
      </w:pPr>
      <w:r w:rsidRPr="00A27EF5">
        <w:rPr>
          <w:sz w:val="22"/>
          <w:szCs w:val="22"/>
        </w:rPr>
        <w:t>Cash registers per booth</w:t>
      </w:r>
      <w:r w:rsidRPr="00A27EF5">
        <w:rPr>
          <w:sz w:val="22"/>
          <w:szCs w:val="22"/>
        </w:rPr>
        <w:tab/>
      </w:r>
      <w:r w:rsidR="009C0CA3" w:rsidRPr="00A27EF5">
        <w:rPr>
          <w:sz w:val="22"/>
          <w:szCs w:val="22"/>
        </w:rPr>
        <w:tab/>
      </w:r>
      <w:r w:rsidRPr="00A27EF5">
        <w:rPr>
          <w:sz w:val="22"/>
          <w:szCs w:val="22"/>
        </w:rPr>
        <w:t xml:space="preserve"> Range from 4 to 12 in booths</w:t>
      </w:r>
    </w:p>
    <w:p w:rsidR="002F2E1D" w:rsidRPr="00A27EF5" w:rsidRDefault="00604B38">
      <w:pPr>
        <w:ind w:firstLine="720"/>
        <w:rPr>
          <w:sz w:val="22"/>
          <w:szCs w:val="22"/>
        </w:rPr>
      </w:pPr>
      <w:r w:rsidRPr="00A27EF5">
        <w:rPr>
          <w:sz w:val="22"/>
          <w:szCs w:val="22"/>
        </w:rPr>
        <w:t>Capacity per fryer (# / hour)</w:t>
      </w:r>
      <w:r w:rsidRPr="00A27EF5">
        <w:rPr>
          <w:sz w:val="22"/>
          <w:szCs w:val="22"/>
        </w:rPr>
        <w:tab/>
        <w:t xml:space="preserve"> 78 </w:t>
      </w:r>
    </w:p>
    <w:p w:rsidR="002F2E1D" w:rsidRPr="00A27EF5" w:rsidRDefault="00604B38">
      <w:pPr>
        <w:ind w:firstLine="720"/>
        <w:rPr>
          <w:sz w:val="22"/>
          <w:szCs w:val="22"/>
        </w:rPr>
      </w:pPr>
      <w:r w:rsidRPr="00A27EF5">
        <w:rPr>
          <w:sz w:val="22"/>
          <w:szCs w:val="22"/>
        </w:rPr>
        <w:t>Weight of one garlic fries order</w:t>
      </w:r>
      <w:r w:rsidRPr="00A27EF5">
        <w:rPr>
          <w:sz w:val="22"/>
          <w:szCs w:val="22"/>
        </w:rPr>
        <w:tab/>
        <w:t xml:space="preserve"> 12 ounces</w:t>
      </w:r>
    </w:p>
    <w:p w:rsidR="002F2E1D" w:rsidRPr="00A27EF5" w:rsidRDefault="00604B38">
      <w:pPr>
        <w:ind w:firstLine="720"/>
        <w:rPr>
          <w:sz w:val="22"/>
          <w:szCs w:val="22"/>
        </w:rPr>
      </w:pPr>
      <w:r w:rsidRPr="00A27EF5">
        <w:rPr>
          <w:sz w:val="22"/>
          <w:szCs w:val="22"/>
        </w:rPr>
        <w:t>Chowder wells per booth</w:t>
      </w:r>
      <w:r w:rsidRPr="00A27EF5">
        <w:rPr>
          <w:sz w:val="22"/>
          <w:szCs w:val="22"/>
        </w:rPr>
        <w:tab/>
        <w:t xml:space="preserve">   0</w:t>
      </w:r>
    </w:p>
    <w:p w:rsidR="002F2E1D" w:rsidRPr="00A27EF5" w:rsidRDefault="00604B38">
      <w:pPr>
        <w:ind w:firstLine="720"/>
        <w:rPr>
          <w:sz w:val="22"/>
          <w:szCs w:val="22"/>
        </w:rPr>
      </w:pPr>
      <w:r w:rsidRPr="00A27EF5">
        <w:rPr>
          <w:sz w:val="22"/>
          <w:szCs w:val="22"/>
        </w:rPr>
        <w:t>Hamburger grilles</w:t>
      </w:r>
      <w:r w:rsidRPr="00A27EF5">
        <w:rPr>
          <w:sz w:val="22"/>
          <w:szCs w:val="22"/>
        </w:rPr>
        <w:tab/>
      </w:r>
      <w:r w:rsidRPr="00A27EF5">
        <w:rPr>
          <w:sz w:val="22"/>
          <w:szCs w:val="22"/>
        </w:rPr>
        <w:tab/>
        <w:t xml:space="preserve">   3   six foot grill</w:t>
      </w:r>
    </w:p>
    <w:p w:rsidR="002F2E1D" w:rsidRPr="00A27EF5" w:rsidRDefault="00604B38">
      <w:pPr>
        <w:ind w:firstLine="720"/>
        <w:rPr>
          <w:sz w:val="22"/>
          <w:szCs w:val="22"/>
        </w:rPr>
      </w:pPr>
      <w:r w:rsidRPr="00A27EF5">
        <w:rPr>
          <w:sz w:val="22"/>
          <w:szCs w:val="22"/>
        </w:rPr>
        <w:t xml:space="preserve">Average Sales </w:t>
      </w:r>
      <w:proofErr w:type="gramStart"/>
      <w:r w:rsidRPr="00A27EF5">
        <w:rPr>
          <w:sz w:val="22"/>
          <w:szCs w:val="22"/>
        </w:rPr>
        <w:t>Per</w:t>
      </w:r>
      <w:proofErr w:type="gramEnd"/>
      <w:r w:rsidRPr="00A27EF5">
        <w:rPr>
          <w:sz w:val="22"/>
          <w:szCs w:val="22"/>
        </w:rPr>
        <w:t xml:space="preserve"> Fan NFL       $14   Food and beverage, without suites</w:t>
      </w:r>
    </w:p>
    <w:p w:rsidR="002F2E1D" w:rsidRPr="00A27EF5" w:rsidRDefault="00604B38">
      <w:pPr>
        <w:ind w:firstLine="720"/>
        <w:rPr>
          <w:sz w:val="22"/>
          <w:szCs w:val="22"/>
        </w:rPr>
      </w:pPr>
      <w:r w:rsidRPr="00A27EF5">
        <w:rPr>
          <w:sz w:val="22"/>
          <w:szCs w:val="22"/>
        </w:rPr>
        <w:t>Average Beverage Sale NFL</w:t>
      </w:r>
      <w:r w:rsidRPr="00A27EF5">
        <w:rPr>
          <w:sz w:val="22"/>
          <w:szCs w:val="22"/>
        </w:rPr>
        <w:tab/>
        <w:t>65</w:t>
      </w:r>
      <w:proofErr w:type="gramStart"/>
      <w:r w:rsidRPr="00A27EF5">
        <w:rPr>
          <w:sz w:val="22"/>
          <w:szCs w:val="22"/>
        </w:rPr>
        <w:t>%  Beer</w:t>
      </w:r>
      <w:proofErr w:type="gramEnd"/>
      <w:r w:rsidRPr="00A27EF5">
        <w:rPr>
          <w:sz w:val="22"/>
          <w:szCs w:val="22"/>
        </w:rPr>
        <w:t>, soda, coffee, water, hot chocolate</w:t>
      </w:r>
    </w:p>
    <w:p w:rsidR="002F2E1D" w:rsidRPr="00A27EF5" w:rsidRDefault="00604B38">
      <w:pPr>
        <w:ind w:firstLine="720"/>
        <w:rPr>
          <w:sz w:val="22"/>
          <w:szCs w:val="22"/>
        </w:rPr>
      </w:pPr>
      <w:r w:rsidRPr="00A27EF5">
        <w:rPr>
          <w:sz w:val="22"/>
          <w:szCs w:val="22"/>
        </w:rPr>
        <w:t>Beer Cutoff Day games</w:t>
      </w:r>
      <w:r w:rsidRPr="00A27EF5">
        <w:rPr>
          <w:sz w:val="22"/>
          <w:szCs w:val="22"/>
        </w:rPr>
        <w:tab/>
      </w:r>
      <w:r w:rsidRPr="00A27EF5">
        <w:rPr>
          <w:sz w:val="22"/>
          <w:szCs w:val="22"/>
        </w:rPr>
        <w:tab/>
        <w:t>Start of 3</w:t>
      </w:r>
      <w:r w:rsidRPr="00A27EF5">
        <w:rPr>
          <w:sz w:val="22"/>
          <w:szCs w:val="22"/>
          <w:vertAlign w:val="superscript"/>
        </w:rPr>
        <w:t>rd</w:t>
      </w:r>
      <w:r w:rsidRPr="00A27EF5">
        <w:rPr>
          <w:sz w:val="22"/>
          <w:szCs w:val="22"/>
        </w:rPr>
        <w:t xml:space="preserve"> quarter</w:t>
      </w:r>
    </w:p>
    <w:p w:rsidR="002F2E1D" w:rsidRPr="00A27EF5" w:rsidRDefault="00604B38">
      <w:pPr>
        <w:ind w:firstLine="720"/>
        <w:rPr>
          <w:sz w:val="22"/>
          <w:szCs w:val="22"/>
        </w:rPr>
      </w:pPr>
      <w:r w:rsidRPr="00A27EF5">
        <w:rPr>
          <w:sz w:val="22"/>
          <w:szCs w:val="22"/>
        </w:rPr>
        <w:t>Beer Cutoff Night games</w:t>
      </w:r>
      <w:r w:rsidRPr="00A27EF5">
        <w:rPr>
          <w:sz w:val="22"/>
          <w:szCs w:val="22"/>
        </w:rPr>
        <w:tab/>
        <w:t>2</w:t>
      </w:r>
      <w:r w:rsidRPr="00A27EF5">
        <w:rPr>
          <w:sz w:val="22"/>
          <w:szCs w:val="22"/>
          <w:vertAlign w:val="superscript"/>
        </w:rPr>
        <w:t>nd</w:t>
      </w:r>
      <w:r w:rsidRPr="00A27EF5">
        <w:rPr>
          <w:sz w:val="22"/>
          <w:szCs w:val="22"/>
        </w:rPr>
        <w:t xml:space="preserve"> Half Kick off</w:t>
      </w:r>
    </w:p>
    <w:p w:rsidR="002F2E1D" w:rsidRPr="00A27EF5" w:rsidRDefault="002F2E1D">
      <w:pPr>
        <w:rPr>
          <w:sz w:val="22"/>
          <w:szCs w:val="22"/>
        </w:rPr>
      </w:pPr>
    </w:p>
    <w:p w:rsidR="002F2E1D" w:rsidRPr="00B418F5" w:rsidRDefault="00910FD5">
      <w:pPr>
        <w:rPr>
          <w:sz w:val="22"/>
          <w:szCs w:val="22"/>
          <w:u w:val="single"/>
        </w:rPr>
      </w:pPr>
      <w:r w:rsidRPr="00B418F5">
        <w:rPr>
          <w:sz w:val="22"/>
          <w:szCs w:val="22"/>
          <w:u w:val="single"/>
        </w:rPr>
        <w:t>Getting Ready for Qwest Field</w:t>
      </w:r>
    </w:p>
    <w:p w:rsidR="002F2E1D" w:rsidRPr="00A27EF5" w:rsidRDefault="00604B38">
      <w:pPr>
        <w:ind w:firstLine="720"/>
        <w:rPr>
          <w:sz w:val="22"/>
          <w:szCs w:val="22"/>
        </w:rPr>
      </w:pPr>
      <w:r w:rsidRPr="00A27EF5">
        <w:rPr>
          <w:sz w:val="22"/>
          <w:szCs w:val="22"/>
        </w:rPr>
        <w:lastRenderedPageBreak/>
        <w:t xml:space="preserve">So as Walt </w:t>
      </w:r>
      <w:proofErr w:type="spellStart"/>
      <w:r w:rsidRPr="00A27EF5">
        <w:rPr>
          <w:sz w:val="22"/>
          <w:szCs w:val="22"/>
        </w:rPr>
        <w:t>Pillman</w:t>
      </w:r>
      <w:proofErr w:type="spellEnd"/>
      <w:r w:rsidRPr="00A27EF5">
        <w:rPr>
          <w:sz w:val="22"/>
          <w:szCs w:val="22"/>
        </w:rPr>
        <w:t xml:space="preserve"> sat down with his Valentine’s chocolate box, he realized he would have to work quickly.  If he needed new equipment there would be a lead time to order it, and he would also need permits</w:t>
      </w:r>
      <w:r w:rsidR="009C0CA3" w:rsidRPr="00A27EF5">
        <w:rPr>
          <w:sz w:val="22"/>
          <w:szCs w:val="22"/>
        </w:rPr>
        <w:t xml:space="preserve"> from the city to install it.  Th</w:t>
      </w:r>
      <w:r w:rsidRPr="00A27EF5">
        <w:rPr>
          <w:sz w:val="22"/>
          <w:szCs w:val="22"/>
        </w:rPr>
        <w:t>e first event was scheduled for August, so there was no time to waste.  And with pitchers and catchers reporting to Arizona the next morning, Walt knew the baseball season was only six weeks away and once baseball started, he would have no time to work on Qwest Field.</w:t>
      </w:r>
    </w:p>
    <w:p w:rsidR="002F2E1D" w:rsidRPr="00A27EF5" w:rsidRDefault="002F2E1D">
      <w:pPr>
        <w:ind w:firstLine="720"/>
        <w:rPr>
          <w:sz w:val="22"/>
          <w:szCs w:val="22"/>
        </w:rPr>
      </w:pPr>
    </w:p>
    <w:p w:rsidR="002F2E1D" w:rsidRPr="00B418F5" w:rsidRDefault="00604B38">
      <w:pPr>
        <w:rPr>
          <w:bCs/>
          <w:sz w:val="22"/>
          <w:szCs w:val="22"/>
          <w:u w:val="single"/>
        </w:rPr>
      </w:pPr>
      <w:r w:rsidRPr="00B418F5">
        <w:rPr>
          <w:bCs/>
          <w:sz w:val="22"/>
          <w:szCs w:val="22"/>
          <w:u w:val="single"/>
        </w:rPr>
        <w:t>Which Locations?</w:t>
      </w:r>
    </w:p>
    <w:p w:rsidR="002F2E1D" w:rsidRPr="00A27EF5" w:rsidRDefault="00604B38">
      <w:pPr>
        <w:rPr>
          <w:sz w:val="22"/>
          <w:szCs w:val="22"/>
        </w:rPr>
      </w:pPr>
      <w:r w:rsidRPr="00A27EF5">
        <w:rPr>
          <w:bCs/>
          <w:sz w:val="22"/>
          <w:szCs w:val="22"/>
        </w:rPr>
        <w:tab/>
      </w:r>
      <w:r w:rsidRPr="00A27EF5">
        <w:rPr>
          <w:sz w:val="22"/>
          <w:szCs w:val="22"/>
        </w:rPr>
        <w:t xml:space="preserve">The Seahawks had asked </w:t>
      </w:r>
      <w:proofErr w:type="spellStart"/>
      <w:r w:rsidRPr="00A27EF5">
        <w:rPr>
          <w:sz w:val="22"/>
          <w:szCs w:val="22"/>
        </w:rPr>
        <w:t>Ivar’s</w:t>
      </w:r>
      <w:proofErr w:type="spellEnd"/>
      <w:r w:rsidRPr="00A27EF5">
        <w:rPr>
          <w:sz w:val="22"/>
          <w:szCs w:val="22"/>
        </w:rPr>
        <w:t xml:space="preserve"> to select as </w:t>
      </w:r>
      <w:r w:rsidRPr="00A27EF5">
        <w:rPr>
          <w:sz w:val="22"/>
          <w:szCs w:val="22"/>
          <w:u w:val="single"/>
        </w:rPr>
        <w:t>many</w:t>
      </w:r>
      <w:r w:rsidRPr="00A27EF5">
        <w:rPr>
          <w:sz w:val="22"/>
          <w:szCs w:val="22"/>
        </w:rPr>
        <w:t xml:space="preserve"> locations as it thought it could manage with the request that one </w:t>
      </w:r>
      <w:proofErr w:type="spellStart"/>
      <w:r w:rsidRPr="00A27EF5">
        <w:rPr>
          <w:sz w:val="22"/>
          <w:szCs w:val="22"/>
        </w:rPr>
        <w:t>Ivar’s</w:t>
      </w:r>
      <w:proofErr w:type="spellEnd"/>
      <w:r w:rsidRPr="00A27EF5">
        <w:rPr>
          <w:sz w:val="22"/>
          <w:szCs w:val="22"/>
        </w:rPr>
        <w:t xml:space="preserve"> and one Kidd Valley </w:t>
      </w:r>
      <w:proofErr w:type="gramStart"/>
      <w:r w:rsidRPr="00A27EF5">
        <w:rPr>
          <w:sz w:val="22"/>
          <w:szCs w:val="22"/>
        </w:rPr>
        <w:t>be</w:t>
      </w:r>
      <w:proofErr w:type="gramEnd"/>
      <w:r w:rsidRPr="00A27EF5">
        <w:rPr>
          <w:sz w:val="22"/>
          <w:szCs w:val="22"/>
        </w:rPr>
        <w:t xml:space="preserve"> located on the Club level.  Fans who sat on the Club level paid between $100 and $125 per ticket, and they were upset with the quality of the food. </w:t>
      </w:r>
      <w:r w:rsidR="009C0CA3" w:rsidRPr="00A27EF5">
        <w:rPr>
          <w:sz w:val="22"/>
          <w:szCs w:val="22"/>
        </w:rPr>
        <w:t xml:space="preserve"> </w:t>
      </w:r>
    </w:p>
    <w:p w:rsidR="002F2E1D" w:rsidRPr="00A27EF5" w:rsidRDefault="00604B38" w:rsidP="009C0CA3">
      <w:pPr>
        <w:rPr>
          <w:sz w:val="22"/>
          <w:szCs w:val="22"/>
        </w:rPr>
      </w:pPr>
      <w:r w:rsidRPr="00A27EF5">
        <w:rPr>
          <w:sz w:val="22"/>
          <w:szCs w:val="22"/>
        </w:rPr>
        <w:tab/>
        <w:t xml:space="preserve"> </w:t>
      </w:r>
    </w:p>
    <w:p w:rsidR="002F2E1D" w:rsidRPr="00B418F5" w:rsidRDefault="00604B38">
      <w:pPr>
        <w:rPr>
          <w:bCs/>
          <w:sz w:val="22"/>
          <w:szCs w:val="22"/>
          <w:u w:val="single"/>
        </w:rPr>
      </w:pPr>
      <w:r w:rsidRPr="00B418F5">
        <w:rPr>
          <w:bCs/>
          <w:sz w:val="22"/>
          <w:szCs w:val="22"/>
          <w:u w:val="single"/>
        </w:rPr>
        <w:t xml:space="preserve"> Sales Patterns</w:t>
      </w:r>
    </w:p>
    <w:p w:rsidR="002F2E1D" w:rsidRPr="00A27EF5" w:rsidRDefault="00604B38">
      <w:pPr>
        <w:rPr>
          <w:sz w:val="22"/>
          <w:szCs w:val="22"/>
        </w:rPr>
      </w:pPr>
      <w:r w:rsidRPr="00A27EF5">
        <w:rPr>
          <w:sz w:val="22"/>
          <w:szCs w:val="22"/>
        </w:rPr>
        <w:tab/>
        <w:t xml:space="preserve">Walt knew that baseball fans ate BEFORE the game, and by the time Ichiro batted, most of </w:t>
      </w:r>
      <w:proofErr w:type="spellStart"/>
      <w:r w:rsidRPr="00A27EF5">
        <w:rPr>
          <w:sz w:val="22"/>
          <w:szCs w:val="22"/>
        </w:rPr>
        <w:t>Ivar’s</w:t>
      </w:r>
      <w:proofErr w:type="spellEnd"/>
      <w:r w:rsidRPr="00A27EF5">
        <w:rPr>
          <w:sz w:val="22"/>
          <w:szCs w:val="22"/>
        </w:rPr>
        <w:t xml:space="preserve"> sales for the night were completed.  What would happen with sales at football games at Qwest Field?  </w:t>
      </w:r>
    </w:p>
    <w:p w:rsidR="009C0CA3" w:rsidRPr="00A27EF5" w:rsidRDefault="00604B38">
      <w:pPr>
        <w:ind w:firstLine="720"/>
        <w:rPr>
          <w:sz w:val="22"/>
          <w:szCs w:val="22"/>
        </w:rPr>
      </w:pPr>
      <w:r w:rsidRPr="00A27EF5">
        <w:rPr>
          <w:sz w:val="22"/>
          <w:szCs w:val="22"/>
        </w:rPr>
        <w:t xml:space="preserve">How much food and beverage should Walt plan to sell? </w:t>
      </w:r>
    </w:p>
    <w:p w:rsidR="002F2E1D" w:rsidRPr="00A27EF5" w:rsidRDefault="00604B38" w:rsidP="009C0CA3">
      <w:pPr>
        <w:ind w:left="720"/>
        <w:rPr>
          <w:sz w:val="22"/>
          <w:szCs w:val="22"/>
        </w:rPr>
      </w:pPr>
      <w:r w:rsidRPr="00A27EF5">
        <w:rPr>
          <w:sz w:val="22"/>
          <w:szCs w:val="22"/>
        </w:rPr>
        <w:t xml:space="preserve">What items should be on the menus? </w:t>
      </w:r>
    </w:p>
    <w:p w:rsidR="002F2E1D" w:rsidRPr="00A27EF5" w:rsidRDefault="00604B38">
      <w:pPr>
        <w:ind w:firstLine="720"/>
        <w:rPr>
          <w:sz w:val="22"/>
          <w:szCs w:val="22"/>
        </w:rPr>
      </w:pPr>
      <w:r w:rsidRPr="00A27EF5">
        <w:rPr>
          <w:sz w:val="22"/>
          <w:szCs w:val="22"/>
        </w:rPr>
        <w:t xml:space="preserve">What would be the mix of sales between food and beverage? </w:t>
      </w:r>
    </w:p>
    <w:p w:rsidR="002F2E1D" w:rsidRPr="00A27EF5" w:rsidRDefault="00604B38">
      <w:pPr>
        <w:ind w:firstLine="720"/>
        <w:rPr>
          <w:sz w:val="22"/>
          <w:szCs w:val="22"/>
        </w:rPr>
      </w:pPr>
      <w:r w:rsidRPr="00A27EF5">
        <w:rPr>
          <w:sz w:val="22"/>
          <w:szCs w:val="22"/>
        </w:rPr>
        <w:t>When would the booths be busiest?</w:t>
      </w:r>
      <w:r w:rsidRPr="00A27EF5">
        <w:rPr>
          <w:sz w:val="22"/>
          <w:szCs w:val="22"/>
        </w:rPr>
        <w:tab/>
      </w:r>
    </w:p>
    <w:p w:rsidR="002F2E1D" w:rsidRPr="00A27EF5" w:rsidRDefault="00604B38">
      <w:pPr>
        <w:ind w:firstLine="720"/>
        <w:rPr>
          <w:sz w:val="22"/>
          <w:szCs w:val="22"/>
        </w:rPr>
      </w:pPr>
      <w:r w:rsidRPr="00A27EF5">
        <w:rPr>
          <w:sz w:val="22"/>
          <w:szCs w:val="22"/>
        </w:rPr>
        <w:t>What sales targets should Walt establish for his managers?</w:t>
      </w:r>
    </w:p>
    <w:p w:rsidR="002F2E1D" w:rsidRPr="00A27EF5" w:rsidRDefault="00604B38">
      <w:pPr>
        <w:ind w:firstLine="720"/>
        <w:rPr>
          <w:sz w:val="22"/>
          <w:szCs w:val="22"/>
        </w:rPr>
      </w:pPr>
      <w:r w:rsidRPr="00A27EF5">
        <w:rPr>
          <w:sz w:val="22"/>
          <w:szCs w:val="22"/>
        </w:rPr>
        <w:t>How much and what kind of labor should he plan for in the booths?</w:t>
      </w:r>
    </w:p>
    <w:p w:rsidR="002F2E1D" w:rsidRPr="00A27EF5" w:rsidRDefault="00604B38">
      <w:pPr>
        <w:ind w:firstLine="720"/>
        <w:rPr>
          <w:sz w:val="22"/>
          <w:szCs w:val="22"/>
        </w:rPr>
      </w:pPr>
      <w:r w:rsidRPr="00A27EF5">
        <w:rPr>
          <w:sz w:val="22"/>
          <w:szCs w:val="22"/>
        </w:rPr>
        <w:t xml:space="preserve">Compared to his planned sales, how much inventory should Walt order per game? </w:t>
      </w:r>
    </w:p>
    <w:p w:rsidR="002F2E1D" w:rsidRPr="00A27EF5" w:rsidRDefault="002F2E1D">
      <w:pPr>
        <w:rPr>
          <w:sz w:val="22"/>
          <w:szCs w:val="22"/>
        </w:rPr>
      </w:pPr>
    </w:p>
    <w:p w:rsidR="002F2E1D" w:rsidRPr="00B418F5" w:rsidRDefault="00604B38" w:rsidP="009C0CA3">
      <w:pPr>
        <w:rPr>
          <w:sz w:val="22"/>
          <w:szCs w:val="22"/>
          <w:u w:val="single"/>
        </w:rPr>
      </w:pPr>
      <w:r w:rsidRPr="00B418F5">
        <w:rPr>
          <w:bCs/>
          <w:sz w:val="22"/>
          <w:szCs w:val="22"/>
          <w:u w:val="single"/>
        </w:rPr>
        <w:t>Equipment Concerns</w:t>
      </w:r>
    </w:p>
    <w:p w:rsidR="002F2E1D" w:rsidRPr="00A27EF5" w:rsidRDefault="00604B38" w:rsidP="00F93D36">
      <w:pPr>
        <w:pStyle w:val="BodyText"/>
        <w:rPr>
          <w:szCs w:val="22"/>
        </w:rPr>
      </w:pPr>
      <w:r w:rsidRPr="00A27EF5">
        <w:rPr>
          <w:szCs w:val="22"/>
        </w:rPr>
        <w:tab/>
        <w:t xml:space="preserve">When the company installed Kidd Valley at Safeco, the master concessionaire was upset with Kidd Valley’s selection of the highest capacity hamburger broiler in the world for its booths and accused </w:t>
      </w:r>
      <w:proofErr w:type="spellStart"/>
      <w:r w:rsidRPr="00A27EF5">
        <w:rPr>
          <w:szCs w:val="22"/>
        </w:rPr>
        <w:t>Ivar’s</w:t>
      </w:r>
      <w:proofErr w:type="spellEnd"/>
      <w:r w:rsidRPr="00A27EF5">
        <w:rPr>
          <w:szCs w:val="22"/>
        </w:rPr>
        <w:t xml:space="preserve"> of “building a cathedral for Easter,” implying that there was too much capacity.  The concessionaire was selling an average of 300 hamburgers A GAME from the booth Kidd Valley was taking over and Kidd Valley wanted to buy a broiler that could produce 800 burgers in AN HOUR!  “You’ll never sell that many burgers,” the manager said.  Walt didn’t want to have that conversation with the President of the Seahawks, but he didn’t want to run out of burgers or fries during a game, either.  What should Walt do about equipment in the stadium? </w:t>
      </w:r>
    </w:p>
    <w:p w:rsidR="002F2E1D" w:rsidRPr="00A27EF5" w:rsidRDefault="002F2E1D">
      <w:pPr>
        <w:rPr>
          <w:bCs/>
          <w:sz w:val="22"/>
          <w:szCs w:val="22"/>
        </w:rPr>
      </w:pPr>
    </w:p>
    <w:p w:rsidR="00B418F5" w:rsidRDefault="00B418F5">
      <w:pPr>
        <w:rPr>
          <w:bCs/>
          <w:sz w:val="22"/>
          <w:szCs w:val="22"/>
          <w:u w:val="single"/>
        </w:rPr>
      </w:pPr>
      <w:r>
        <w:rPr>
          <w:bCs/>
          <w:sz w:val="22"/>
          <w:szCs w:val="22"/>
          <w:u w:val="single"/>
        </w:rPr>
        <w:br w:type="page"/>
      </w:r>
    </w:p>
    <w:p w:rsidR="002F2E1D" w:rsidRPr="00A27EF5" w:rsidRDefault="00F93D36">
      <w:pPr>
        <w:rPr>
          <w:bCs/>
          <w:sz w:val="22"/>
          <w:szCs w:val="22"/>
        </w:rPr>
      </w:pPr>
      <w:r w:rsidRPr="00A27EF5">
        <w:rPr>
          <w:bCs/>
          <w:sz w:val="22"/>
          <w:szCs w:val="22"/>
          <w:u w:val="single"/>
        </w:rPr>
        <w:lastRenderedPageBreak/>
        <w:t>DATA</w:t>
      </w:r>
    </w:p>
    <w:p w:rsidR="003D64A6" w:rsidRPr="00A27EF5" w:rsidRDefault="00F93D36">
      <w:pPr>
        <w:rPr>
          <w:bCs/>
          <w:sz w:val="22"/>
          <w:szCs w:val="22"/>
        </w:rPr>
      </w:pPr>
      <w:r w:rsidRPr="00A27EF5">
        <w:rPr>
          <w:bCs/>
          <w:sz w:val="22"/>
          <w:szCs w:val="22"/>
        </w:rPr>
        <w:t>Walt</w:t>
      </w:r>
      <w:r w:rsidR="00416DB7" w:rsidRPr="00A27EF5">
        <w:rPr>
          <w:bCs/>
          <w:sz w:val="22"/>
          <w:szCs w:val="22"/>
        </w:rPr>
        <w:t>*</w:t>
      </w:r>
      <w:r w:rsidRPr="00A27EF5">
        <w:rPr>
          <w:bCs/>
          <w:sz w:val="22"/>
          <w:szCs w:val="22"/>
        </w:rPr>
        <w:t xml:space="preserve"> prepared a projection of sales </w:t>
      </w:r>
      <w:r w:rsidR="00C8713D" w:rsidRPr="00A27EF5">
        <w:rPr>
          <w:bCs/>
          <w:sz w:val="22"/>
          <w:szCs w:val="22"/>
        </w:rPr>
        <w:t xml:space="preserve">and costs </w:t>
      </w:r>
      <w:r w:rsidRPr="00A27EF5">
        <w:rPr>
          <w:bCs/>
          <w:sz w:val="22"/>
          <w:szCs w:val="22"/>
        </w:rPr>
        <w:t xml:space="preserve">for the next </w:t>
      </w:r>
      <w:r w:rsidR="00C8713D" w:rsidRPr="00A27EF5">
        <w:rPr>
          <w:bCs/>
          <w:sz w:val="22"/>
          <w:szCs w:val="22"/>
        </w:rPr>
        <w:t xml:space="preserve">five </w:t>
      </w:r>
      <w:r w:rsidRPr="00A27EF5">
        <w:rPr>
          <w:bCs/>
          <w:sz w:val="22"/>
          <w:szCs w:val="22"/>
        </w:rPr>
        <w:t xml:space="preserve">years, based on </w:t>
      </w:r>
      <w:proofErr w:type="spellStart"/>
      <w:r w:rsidRPr="00A27EF5">
        <w:rPr>
          <w:bCs/>
          <w:sz w:val="22"/>
          <w:szCs w:val="22"/>
        </w:rPr>
        <w:t>Ivar’s</w:t>
      </w:r>
      <w:proofErr w:type="spellEnd"/>
      <w:r w:rsidRPr="00A27EF5">
        <w:rPr>
          <w:bCs/>
          <w:sz w:val="22"/>
          <w:szCs w:val="22"/>
        </w:rPr>
        <w:t xml:space="preserve"> experience at Safeco field.  The economy was never certain, so he made it realistic, optimistic and pessimistic.  (See Attached schedule)</w:t>
      </w:r>
    </w:p>
    <w:p w:rsidR="00416DB7" w:rsidRPr="00A27EF5" w:rsidRDefault="00416DB7">
      <w:pPr>
        <w:rPr>
          <w:bCs/>
          <w:sz w:val="22"/>
          <w:szCs w:val="22"/>
        </w:rPr>
      </w:pPr>
    </w:p>
    <w:p w:rsidR="00416DB7" w:rsidRPr="00B418F5" w:rsidRDefault="00416DB7" w:rsidP="00416DB7">
      <w:pPr>
        <w:rPr>
          <w:bCs/>
          <w:i/>
          <w:sz w:val="22"/>
          <w:szCs w:val="22"/>
        </w:rPr>
      </w:pPr>
      <w:r w:rsidRPr="00B418F5">
        <w:rPr>
          <w:bCs/>
          <w:i/>
          <w:sz w:val="22"/>
          <w:szCs w:val="22"/>
        </w:rPr>
        <w:t xml:space="preserve">* Note:  </w:t>
      </w:r>
      <w:r w:rsidR="00F1731F">
        <w:rPr>
          <w:bCs/>
          <w:i/>
          <w:sz w:val="22"/>
          <w:szCs w:val="22"/>
        </w:rPr>
        <w:t xml:space="preserve">Some </w:t>
      </w:r>
      <w:r w:rsidRPr="00B418F5">
        <w:rPr>
          <w:bCs/>
          <w:i/>
          <w:sz w:val="22"/>
          <w:szCs w:val="22"/>
        </w:rPr>
        <w:t xml:space="preserve">of the attached data was provided by </w:t>
      </w:r>
      <w:proofErr w:type="spellStart"/>
      <w:r w:rsidRPr="00B418F5">
        <w:rPr>
          <w:bCs/>
          <w:i/>
          <w:sz w:val="22"/>
          <w:szCs w:val="22"/>
        </w:rPr>
        <w:t>Ivar’s</w:t>
      </w:r>
      <w:proofErr w:type="spellEnd"/>
      <w:r w:rsidRPr="00B418F5">
        <w:rPr>
          <w:bCs/>
          <w:i/>
          <w:sz w:val="22"/>
          <w:szCs w:val="22"/>
        </w:rPr>
        <w:t xml:space="preserve">.  </w:t>
      </w:r>
      <w:r w:rsidR="00F1731F">
        <w:rPr>
          <w:bCs/>
          <w:i/>
          <w:sz w:val="22"/>
          <w:szCs w:val="22"/>
        </w:rPr>
        <w:t xml:space="preserve">Other data was </w:t>
      </w:r>
      <w:r w:rsidRPr="00B418F5">
        <w:rPr>
          <w:bCs/>
          <w:i/>
          <w:sz w:val="22"/>
          <w:szCs w:val="22"/>
        </w:rPr>
        <w:t>created by Judith Paquette for use in this case, based on her estimates.</w:t>
      </w:r>
    </w:p>
    <w:p w:rsidR="00B418F5" w:rsidRDefault="00B418F5">
      <w:pPr>
        <w:rPr>
          <w:sz w:val="22"/>
          <w:szCs w:val="22"/>
          <w:u w:val="single"/>
        </w:rPr>
      </w:pPr>
    </w:p>
    <w:p w:rsidR="00910FD5" w:rsidRPr="00B418F5" w:rsidRDefault="00F1731F" w:rsidP="00910FD5">
      <w:pPr>
        <w:rPr>
          <w:b/>
          <w:sz w:val="32"/>
          <w:szCs w:val="22"/>
          <w:u w:val="single"/>
        </w:rPr>
      </w:pPr>
      <w:proofErr w:type="gramStart"/>
      <w:r>
        <w:rPr>
          <w:b/>
          <w:sz w:val="32"/>
          <w:szCs w:val="22"/>
          <w:u w:val="single"/>
        </w:rPr>
        <w:t>YOUR</w:t>
      </w:r>
      <w:proofErr w:type="gramEnd"/>
      <w:r>
        <w:rPr>
          <w:b/>
          <w:sz w:val="32"/>
          <w:szCs w:val="22"/>
          <w:u w:val="single"/>
        </w:rPr>
        <w:t xml:space="preserve"> ASSIGNMENT: </w:t>
      </w:r>
      <w:r w:rsidR="00910FD5" w:rsidRPr="00B418F5">
        <w:rPr>
          <w:b/>
          <w:sz w:val="32"/>
          <w:szCs w:val="22"/>
          <w:u w:val="single"/>
        </w:rPr>
        <w:t>The CASE Problem</w:t>
      </w:r>
    </w:p>
    <w:p w:rsidR="00F1731F" w:rsidRPr="00A27EF5" w:rsidRDefault="00F1731F" w:rsidP="00F1731F">
      <w:pPr>
        <w:pStyle w:val="ListParagraph"/>
        <w:numPr>
          <w:ilvl w:val="0"/>
          <w:numId w:val="15"/>
        </w:numPr>
        <w:rPr>
          <w:rFonts w:ascii="Times New Roman" w:hAnsi="Times New Roman" w:cs="Times New Roman"/>
        </w:rPr>
      </w:pPr>
      <w:r>
        <w:rPr>
          <w:rFonts w:ascii="Times New Roman" w:hAnsi="Times New Roman" w:cs="Times New Roman"/>
        </w:rPr>
        <w:t>Prepare analyses of the possible scenarios:</w:t>
      </w:r>
      <w:r w:rsidRPr="00A27EF5">
        <w:rPr>
          <w:rFonts w:ascii="Times New Roman" w:hAnsi="Times New Roman" w:cs="Times New Roman"/>
        </w:rPr>
        <w:t xml:space="preserve"> </w:t>
      </w:r>
    </w:p>
    <w:p w:rsidR="003D64A6" w:rsidRPr="0042346B" w:rsidRDefault="003D64A6" w:rsidP="0042346B">
      <w:pPr>
        <w:pStyle w:val="ListParagraph"/>
        <w:numPr>
          <w:ilvl w:val="1"/>
          <w:numId w:val="15"/>
        </w:numPr>
        <w:rPr>
          <w:rFonts w:ascii="Times New Roman" w:hAnsi="Times New Roman" w:cs="Times New Roman"/>
        </w:rPr>
      </w:pPr>
      <w:r w:rsidRPr="00A27EF5">
        <w:rPr>
          <w:rFonts w:ascii="Times New Roman" w:hAnsi="Times New Roman" w:cs="Times New Roman"/>
        </w:rPr>
        <w:t>Prepare a Net Present Value Analysis (</w:t>
      </w:r>
      <w:proofErr w:type="spellStart"/>
      <w:r w:rsidRPr="00A27EF5">
        <w:rPr>
          <w:rFonts w:ascii="Times New Roman" w:hAnsi="Times New Roman" w:cs="Times New Roman"/>
        </w:rPr>
        <w:t>NPV</w:t>
      </w:r>
      <w:proofErr w:type="spellEnd"/>
      <w:r w:rsidRPr="00A27EF5">
        <w:rPr>
          <w:rFonts w:ascii="Times New Roman" w:hAnsi="Times New Roman" w:cs="Times New Roman"/>
        </w:rPr>
        <w:t xml:space="preserve">) for the </w:t>
      </w:r>
      <w:r w:rsidR="00F1731F">
        <w:rPr>
          <w:rFonts w:ascii="Times New Roman" w:hAnsi="Times New Roman" w:cs="Times New Roman"/>
        </w:rPr>
        <w:t xml:space="preserve">three </w:t>
      </w:r>
      <w:r w:rsidRPr="00A27EF5">
        <w:rPr>
          <w:rFonts w:ascii="Times New Roman" w:hAnsi="Times New Roman" w:cs="Times New Roman"/>
        </w:rPr>
        <w:t xml:space="preserve">different scenarios </w:t>
      </w:r>
      <w:r w:rsidR="00F1731F">
        <w:rPr>
          <w:rFonts w:ascii="Times New Roman" w:hAnsi="Times New Roman" w:cs="Times New Roman"/>
        </w:rPr>
        <w:t xml:space="preserve">(optimistic, pessimistic, and realistic).  </w:t>
      </w:r>
      <w:r w:rsidR="0042346B">
        <w:rPr>
          <w:rFonts w:ascii="Times New Roman" w:hAnsi="Times New Roman" w:cs="Times New Roman"/>
        </w:rPr>
        <w:t>Show the Depreciation Tax Shield(s)</w:t>
      </w:r>
      <w:r w:rsidR="0042346B" w:rsidRPr="0042346B">
        <w:rPr>
          <w:rFonts w:ascii="Times New Roman" w:hAnsi="Times New Roman" w:cs="Times New Roman"/>
        </w:rPr>
        <w:t xml:space="preserve"> as a separate line item.</w:t>
      </w:r>
    </w:p>
    <w:p w:rsidR="003D64A6" w:rsidRPr="00A27EF5" w:rsidRDefault="003D64A6" w:rsidP="00F1731F">
      <w:pPr>
        <w:pStyle w:val="ListParagraph"/>
        <w:numPr>
          <w:ilvl w:val="1"/>
          <w:numId w:val="15"/>
        </w:numPr>
        <w:rPr>
          <w:rFonts w:ascii="Times New Roman" w:hAnsi="Times New Roman" w:cs="Times New Roman"/>
        </w:rPr>
      </w:pPr>
      <w:r w:rsidRPr="00A27EF5">
        <w:rPr>
          <w:rFonts w:ascii="Times New Roman" w:hAnsi="Times New Roman" w:cs="Times New Roman"/>
        </w:rPr>
        <w:t xml:space="preserve">A Payback Period Analysis </w:t>
      </w:r>
      <w:r w:rsidR="00F1731F">
        <w:rPr>
          <w:rFonts w:ascii="Times New Roman" w:hAnsi="Times New Roman" w:cs="Times New Roman"/>
        </w:rPr>
        <w:t>for the realistic scenario.</w:t>
      </w:r>
    </w:p>
    <w:p w:rsidR="00F1731F" w:rsidRPr="00A27EF5" w:rsidRDefault="00F1731F" w:rsidP="00F1731F">
      <w:pPr>
        <w:pStyle w:val="ListParagraph"/>
        <w:numPr>
          <w:ilvl w:val="0"/>
          <w:numId w:val="15"/>
        </w:numPr>
        <w:rPr>
          <w:rFonts w:ascii="Times New Roman" w:hAnsi="Times New Roman" w:cs="Times New Roman"/>
        </w:rPr>
      </w:pPr>
      <w:r w:rsidRPr="00A27EF5">
        <w:rPr>
          <w:rFonts w:ascii="Times New Roman" w:hAnsi="Times New Roman" w:cs="Times New Roman"/>
        </w:rPr>
        <w:t xml:space="preserve">Perform a cost/benefit analysis of </w:t>
      </w:r>
      <w:r w:rsidRPr="00A27EF5">
        <w:rPr>
          <w:rFonts w:ascii="Times New Roman" w:hAnsi="Times New Roman" w:cs="Times New Roman"/>
          <w:u w:val="single"/>
        </w:rPr>
        <w:t xml:space="preserve">whether </w:t>
      </w:r>
      <w:proofErr w:type="spellStart"/>
      <w:r w:rsidRPr="00A27EF5">
        <w:rPr>
          <w:rFonts w:ascii="Times New Roman" w:hAnsi="Times New Roman" w:cs="Times New Roman"/>
          <w:u w:val="single"/>
        </w:rPr>
        <w:t>Ivar’s</w:t>
      </w:r>
      <w:proofErr w:type="spellEnd"/>
      <w:r w:rsidRPr="00A27EF5">
        <w:rPr>
          <w:rFonts w:ascii="Times New Roman" w:hAnsi="Times New Roman" w:cs="Times New Roman"/>
          <w:u w:val="single"/>
        </w:rPr>
        <w:t xml:space="preserve"> should have agreed to invest</w:t>
      </w:r>
      <w:r w:rsidRPr="00A27EF5">
        <w:rPr>
          <w:rFonts w:ascii="Times New Roman" w:hAnsi="Times New Roman" w:cs="Times New Roman"/>
        </w:rPr>
        <w:t xml:space="preserve"> in QWEST field.  Consider its capital investment, along with any other costs and benefits (the Qwest Field segment income).  Present your findings analytically.  </w:t>
      </w:r>
    </w:p>
    <w:p w:rsidR="003D64A6" w:rsidRPr="00A27EF5" w:rsidRDefault="003D64A6" w:rsidP="00F1731F">
      <w:pPr>
        <w:pStyle w:val="ListParagraph"/>
        <w:numPr>
          <w:ilvl w:val="0"/>
          <w:numId w:val="17"/>
        </w:numPr>
        <w:rPr>
          <w:rFonts w:ascii="Times New Roman" w:hAnsi="Times New Roman" w:cs="Times New Roman"/>
        </w:rPr>
      </w:pPr>
      <w:r w:rsidRPr="00A27EF5">
        <w:rPr>
          <w:rFonts w:ascii="Times New Roman" w:hAnsi="Times New Roman" w:cs="Times New Roman"/>
        </w:rPr>
        <w:t>Clearly state your decision and conclusion from your analysis.  See writing tips below.</w:t>
      </w:r>
    </w:p>
    <w:p w:rsidR="003D64A6" w:rsidRPr="00A27EF5" w:rsidRDefault="003D64A6" w:rsidP="00F1731F">
      <w:pPr>
        <w:pStyle w:val="ListParagraph"/>
        <w:numPr>
          <w:ilvl w:val="0"/>
          <w:numId w:val="17"/>
        </w:numPr>
        <w:rPr>
          <w:rFonts w:ascii="Times New Roman" w:hAnsi="Times New Roman" w:cs="Times New Roman"/>
        </w:rPr>
      </w:pPr>
      <w:r w:rsidRPr="00A27EF5">
        <w:rPr>
          <w:rFonts w:ascii="Times New Roman" w:hAnsi="Times New Roman" w:cs="Times New Roman"/>
        </w:rPr>
        <w:t>Discuss the intangible costs and benefits (discuss both go/no go decisions).</w:t>
      </w:r>
    </w:p>
    <w:p w:rsidR="003D64A6" w:rsidRPr="00A27EF5" w:rsidRDefault="003D64A6" w:rsidP="00F1731F">
      <w:pPr>
        <w:pStyle w:val="ListParagraph"/>
        <w:numPr>
          <w:ilvl w:val="0"/>
          <w:numId w:val="17"/>
        </w:numPr>
        <w:spacing w:after="0"/>
        <w:rPr>
          <w:rFonts w:ascii="Times New Roman" w:hAnsi="Times New Roman" w:cs="Times New Roman"/>
        </w:rPr>
      </w:pPr>
      <w:r w:rsidRPr="00A27EF5">
        <w:rPr>
          <w:rFonts w:ascii="Times New Roman" w:hAnsi="Times New Roman" w:cs="Times New Roman"/>
        </w:rPr>
        <w:t xml:space="preserve">Review the concept of the Balanced Scorecard and discuss two relevant performance measures that relate to this case.  </w:t>
      </w:r>
      <w:proofErr w:type="spellStart"/>
      <w:r w:rsidR="00BC7030" w:rsidRPr="00A27EF5">
        <w:rPr>
          <w:rFonts w:ascii="Times New Roman" w:hAnsi="Times New Roman" w:cs="Times New Roman"/>
        </w:rPr>
        <w:t>Ivar’s</w:t>
      </w:r>
      <w:proofErr w:type="spellEnd"/>
      <w:r w:rsidR="00BC7030" w:rsidRPr="00A27EF5">
        <w:rPr>
          <w:rFonts w:ascii="Times New Roman" w:hAnsi="Times New Roman" w:cs="Times New Roman"/>
        </w:rPr>
        <w:t xml:space="preserve"> customers are diverse, and for some, English is not their first language.  Address this in your discussion.  </w:t>
      </w:r>
      <w:r w:rsidRPr="00A27EF5">
        <w:rPr>
          <w:rFonts w:ascii="Times New Roman" w:hAnsi="Times New Roman" w:cs="Times New Roman"/>
        </w:rPr>
        <w:t>Be very specific and relate the performance measures to the information in this case.</w:t>
      </w:r>
      <w:r w:rsidR="00BC7030" w:rsidRPr="00A27EF5">
        <w:rPr>
          <w:rFonts w:ascii="Times New Roman" w:hAnsi="Times New Roman" w:cs="Times New Roman"/>
        </w:rPr>
        <w:t xml:space="preserve">  </w:t>
      </w:r>
    </w:p>
    <w:p w:rsidR="003D64A6" w:rsidRPr="00A27EF5" w:rsidRDefault="00F1731F" w:rsidP="00F1731F">
      <w:r>
        <w:sym w:font="Wingdings" w:char="F0E8"/>
      </w:r>
      <w:r w:rsidR="003D64A6" w:rsidRPr="00F1731F">
        <w:t xml:space="preserve">Submit your paper through Canvas.  </w:t>
      </w:r>
      <w:proofErr w:type="gramStart"/>
      <w:r w:rsidR="003D64A6" w:rsidRPr="00F1731F">
        <w:t>One per group.</w:t>
      </w:r>
      <w:proofErr w:type="gramEnd"/>
    </w:p>
    <w:p w:rsidR="00F1731F" w:rsidRDefault="00F1731F" w:rsidP="003D64A6">
      <w:pPr>
        <w:rPr>
          <w:u w:val="single"/>
        </w:rPr>
      </w:pPr>
    </w:p>
    <w:p w:rsidR="003D64A6" w:rsidRPr="00A27EF5" w:rsidRDefault="003D64A6" w:rsidP="003D64A6">
      <w:pPr>
        <w:rPr>
          <w:u w:val="single"/>
        </w:rPr>
      </w:pPr>
      <w:r w:rsidRPr="00A27EF5">
        <w:rPr>
          <w:u w:val="single"/>
        </w:rPr>
        <w:t>Other references:</w:t>
      </w:r>
    </w:p>
    <w:p w:rsidR="003D64A6" w:rsidRPr="00A27EF5" w:rsidRDefault="003D64A6" w:rsidP="003D64A6">
      <w:pPr>
        <w:shd w:val="clear" w:color="auto" w:fill="FFFFFF"/>
        <w:outlineLvl w:val="1"/>
        <w:rPr>
          <w:szCs w:val="42"/>
        </w:rPr>
      </w:pPr>
      <w:r w:rsidRPr="00A27EF5">
        <w:rPr>
          <w:szCs w:val="42"/>
        </w:rPr>
        <w:t>Maps/ info about Concessions:</w:t>
      </w:r>
    </w:p>
    <w:p w:rsidR="003D64A6" w:rsidRPr="00A27EF5" w:rsidRDefault="009C306B" w:rsidP="003D64A6">
      <w:pPr>
        <w:pStyle w:val="ListParagraph"/>
        <w:numPr>
          <w:ilvl w:val="0"/>
          <w:numId w:val="8"/>
        </w:numPr>
        <w:shd w:val="clear" w:color="auto" w:fill="FFFFFF"/>
        <w:spacing w:after="0" w:line="240" w:lineRule="auto"/>
        <w:outlineLvl w:val="1"/>
        <w:rPr>
          <w:rFonts w:ascii="Times New Roman" w:eastAsia="Times New Roman" w:hAnsi="Times New Roman" w:cs="Times New Roman"/>
          <w:sz w:val="20"/>
          <w:szCs w:val="42"/>
        </w:rPr>
      </w:pPr>
      <w:hyperlink r:id="rId8" w:history="1">
        <w:proofErr w:type="spellStart"/>
        <w:r w:rsidR="003D64A6" w:rsidRPr="00A27EF5">
          <w:rPr>
            <w:rStyle w:val="Hyperlink"/>
            <w:rFonts w:ascii="Times New Roman" w:hAnsi="Times New Roman" w:cs="Times New Roman"/>
            <w:color w:val="auto"/>
            <w:sz w:val="18"/>
          </w:rPr>
          <w:t>http://www.seahawks.com/gameday/stadium-guide/concessions.html</w:t>
        </w:r>
        <w:proofErr w:type="spellEnd"/>
      </w:hyperlink>
    </w:p>
    <w:p w:rsidR="003D64A6" w:rsidRPr="00A27EF5" w:rsidRDefault="009C306B" w:rsidP="003D64A6">
      <w:pPr>
        <w:pStyle w:val="ListParagraph"/>
        <w:numPr>
          <w:ilvl w:val="0"/>
          <w:numId w:val="8"/>
        </w:numPr>
        <w:spacing w:after="0"/>
        <w:rPr>
          <w:rFonts w:ascii="Times New Roman" w:hAnsi="Times New Roman" w:cs="Times New Roman"/>
        </w:rPr>
      </w:pPr>
      <w:hyperlink r:id="rId9" w:history="1">
        <w:proofErr w:type="spellStart"/>
        <w:r w:rsidR="003D64A6" w:rsidRPr="00A27EF5">
          <w:rPr>
            <w:rStyle w:val="Hyperlink"/>
            <w:rFonts w:ascii="Times New Roman" w:hAnsi="Times New Roman" w:cs="Times New Roman"/>
            <w:color w:val="auto"/>
            <w:sz w:val="18"/>
          </w:rPr>
          <w:t>http://www.centurylinkfield.com/concessions-guide/</w:t>
        </w:r>
        <w:proofErr w:type="spellEnd"/>
      </w:hyperlink>
    </w:p>
    <w:p w:rsidR="003D64A6" w:rsidRPr="00A27EF5" w:rsidRDefault="003D64A6" w:rsidP="003D64A6">
      <w:pPr>
        <w:shd w:val="clear" w:color="auto" w:fill="FFFFFF"/>
        <w:outlineLvl w:val="1"/>
        <w:rPr>
          <w:sz w:val="14"/>
          <w:szCs w:val="42"/>
        </w:rPr>
      </w:pPr>
    </w:p>
    <w:p w:rsidR="003D64A6" w:rsidRPr="00A27EF5" w:rsidRDefault="003D64A6" w:rsidP="003D64A6">
      <w:pPr>
        <w:shd w:val="clear" w:color="auto" w:fill="FFFFFF"/>
        <w:outlineLvl w:val="1"/>
        <w:rPr>
          <w:szCs w:val="42"/>
        </w:rPr>
      </w:pPr>
      <w:r w:rsidRPr="00A27EF5">
        <w:rPr>
          <w:szCs w:val="42"/>
        </w:rPr>
        <w:t>Concessions: Quite the moneymaker for stadiums</w:t>
      </w:r>
    </w:p>
    <w:p w:rsidR="00543A86" w:rsidRPr="00543A86" w:rsidRDefault="009C306B" w:rsidP="003D64A6">
      <w:pPr>
        <w:pStyle w:val="ListParagraph"/>
        <w:numPr>
          <w:ilvl w:val="0"/>
          <w:numId w:val="9"/>
        </w:numPr>
        <w:shd w:val="clear" w:color="auto" w:fill="FFFFFF"/>
        <w:spacing w:after="0" w:line="240" w:lineRule="auto"/>
        <w:outlineLvl w:val="1"/>
        <w:rPr>
          <w:rFonts w:ascii="Times New Roman" w:hAnsi="Times New Roman" w:cs="Times New Roman"/>
          <w:sz w:val="18"/>
        </w:rPr>
      </w:pPr>
      <w:hyperlink r:id="rId10" w:history="1">
        <w:r w:rsidR="003D64A6" w:rsidRPr="00A27EF5">
          <w:rPr>
            <w:rStyle w:val="Hyperlink"/>
            <w:rFonts w:ascii="Times New Roman" w:hAnsi="Times New Roman" w:cs="Times New Roman"/>
            <w:color w:val="auto"/>
            <w:sz w:val="18"/>
          </w:rPr>
          <w:t>http://www.centralpennbusiness.com/article/20121107/SPORTS/121109844/-1/events_calendar/Concessions:-Quite-the-moneymaker-for-stadiums&amp;template=sports</w:t>
        </w:r>
      </w:hyperlink>
    </w:p>
    <w:p w:rsidR="00543A86" w:rsidRPr="00543A86" w:rsidRDefault="00543A86" w:rsidP="00543A86">
      <w:pPr>
        <w:pStyle w:val="Heading2"/>
        <w:shd w:val="clear" w:color="auto" w:fill="FFFFFF"/>
        <w:spacing w:before="0" w:line="401" w:lineRule="atLeast"/>
        <w:rPr>
          <w:rFonts w:ascii="Times New Roman" w:eastAsia="Times New Roman" w:hAnsi="Times New Roman" w:cs="Times New Roman"/>
          <w:b w:val="0"/>
          <w:bCs w:val="0"/>
          <w:color w:val="auto"/>
          <w:sz w:val="24"/>
          <w:szCs w:val="42"/>
        </w:rPr>
      </w:pPr>
      <w:hyperlink r:id="rId11" w:history="1">
        <w:r w:rsidRPr="00543A86">
          <w:rPr>
            <w:rFonts w:ascii="Times New Roman" w:eastAsia="Times New Roman" w:hAnsi="Times New Roman" w:cs="Times New Roman"/>
            <w:b w:val="0"/>
            <w:bCs w:val="0"/>
            <w:color w:val="auto"/>
            <w:sz w:val="24"/>
            <w:szCs w:val="42"/>
          </w:rPr>
          <w:t>Concessions Contracts Capitalizing on Consumers' Brand Loyalty</w:t>
        </w:r>
      </w:hyperlink>
    </w:p>
    <w:p w:rsidR="003D64A6" w:rsidRPr="00543A86" w:rsidRDefault="00543A86" w:rsidP="00543A86">
      <w:pPr>
        <w:pStyle w:val="ListParagraph"/>
        <w:numPr>
          <w:ilvl w:val="0"/>
          <w:numId w:val="9"/>
        </w:numPr>
        <w:shd w:val="clear" w:color="auto" w:fill="FFFFFF"/>
        <w:spacing w:after="0" w:line="240" w:lineRule="auto"/>
        <w:outlineLvl w:val="1"/>
        <w:rPr>
          <w:rStyle w:val="Hyperlink"/>
          <w:color w:val="auto"/>
        </w:rPr>
      </w:pPr>
      <w:r w:rsidRPr="00543A86">
        <w:rPr>
          <w:rStyle w:val="Hyperlink"/>
          <w:rFonts w:ascii="Times New Roman" w:hAnsi="Times New Roman" w:cs="Times New Roman"/>
          <w:color w:val="auto"/>
          <w:sz w:val="18"/>
        </w:rPr>
        <w:t xml:space="preserve">http://www.athleticbusiness.com/Marketing/concessions-contracts-capitalizing-on-consumers-brand-loyalty.html  </w:t>
      </w:r>
    </w:p>
    <w:p w:rsidR="003D64A6" w:rsidRPr="00A27EF5" w:rsidRDefault="003D64A6" w:rsidP="003D64A6">
      <w:pPr>
        <w:shd w:val="clear" w:color="auto" w:fill="FFFFFF"/>
        <w:outlineLvl w:val="1"/>
        <w:rPr>
          <w:sz w:val="16"/>
        </w:rPr>
      </w:pPr>
    </w:p>
    <w:p w:rsidR="003D64A6" w:rsidRPr="00A27EF5" w:rsidRDefault="003D64A6" w:rsidP="003D64A6">
      <w:pPr>
        <w:rPr>
          <w:szCs w:val="42"/>
        </w:rPr>
      </w:pPr>
      <w:r w:rsidRPr="00A27EF5">
        <w:rPr>
          <w:szCs w:val="42"/>
        </w:rPr>
        <w:t>Balanced Scorecard in Sports</w:t>
      </w:r>
    </w:p>
    <w:p w:rsidR="003D64A6" w:rsidRPr="00A27EF5" w:rsidRDefault="009C306B" w:rsidP="003D64A6">
      <w:pPr>
        <w:pStyle w:val="ListParagraph"/>
        <w:numPr>
          <w:ilvl w:val="0"/>
          <w:numId w:val="7"/>
        </w:numPr>
        <w:spacing w:after="0"/>
        <w:rPr>
          <w:rFonts w:ascii="Times New Roman" w:hAnsi="Times New Roman" w:cs="Times New Roman"/>
          <w:sz w:val="18"/>
        </w:rPr>
      </w:pPr>
      <w:hyperlink r:id="rId12" w:history="1">
        <w:r w:rsidR="003D64A6" w:rsidRPr="00A27EF5">
          <w:rPr>
            <w:rStyle w:val="Hyperlink"/>
            <w:rFonts w:ascii="Times New Roman" w:hAnsi="Times New Roman" w:cs="Times New Roman"/>
            <w:color w:val="auto"/>
            <w:sz w:val="18"/>
          </w:rPr>
          <w:t>http://ageconsearch.umn.edu/bitstream/104661/2/3_Becsky_The%20Application_Apstract.pdf</w:t>
        </w:r>
      </w:hyperlink>
    </w:p>
    <w:p w:rsidR="003D64A6" w:rsidRPr="00A27EF5" w:rsidRDefault="009C306B" w:rsidP="003D64A6">
      <w:pPr>
        <w:pStyle w:val="ListParagraph"/>
        <w:numPr>
          <w:ilvl w:val="0"/>
          <w:numId w:val="7"/>
        </w:numPr>
        <w:rPr>
          <w:rFonts w:ascii="Times New Roman" w:hAnsi="Times New Roman" w:cs="Times New Roman"/>
          <w:sz w:val="16"/>
        </w:rPr>
      </w:pPr>
      <w:hyperlink r:id="rId13" w:anchor="search=%22balanced%20scorecard%20sports%20team%22" w:history="1">
        <w:r w:rsidR="003D64A6" w:rsidRPr="00A27EF5">
          <w:rPr>
            <w:rStyle w:val="Hyperlink"/>
            <w:rFonts w:ascii="Times New Roman" w:hAnsi="Times New Roman" w:cs="Times New Roman"/>
            <w:color w:val="auto"/>
            <w:sz w:val="16"/>
          </w:rPr>
          <w:t>http://digitalcommons.uconn.edu/cgi/viewcontent.cgi?article=1053&amp;context=srhonors_theses&amp;sei-redir=1&amp;referer=http%3A%2F%2Fwww.google.com%2Furl%3Fsa%3Dt%26rct%3Dj%26q%3Dbalanced%2520scorecard%2520sports%2520team%26source%3Dweb%26cd%3D5%26sqi%3D2%26ved%3D0CEgQFjAE%26url%3Dhttp%253A%252F%252Fdigitalcommons.uconn.edu%252Fcgi%252Fviewcontent.cgi%253Farticle%253D1053%2526context%253Dsrhonors_theses%26ei%3Duj6IUbKKEuSRiQLH0ICQAg%26usg%3DAFQjCNG_bSmveaW7aj47q99IHCoJW6fC5A#search=%22balanced%20scorecard%20sports%20team%22</w:t>
        </w:r>
      </w:hyperlink>
    </w:p>
    <w:p w:rsidR="00416DB7" w:rsidRPr="00A27EF5" w:rsidRDefault="00416DB7">
      <w:pPr>
        <w:rPr>
          <w:sz w:val="22"/>
        </w:rPr>
      </w:pPr>
    </w:p>
    <w:p w:rsidR="00282A50" w:rsidRDefault="00282A50">
      <w:pPr>
        <w:rPr>
          <w:sz w:val="22"/>
        </w:rPr>
      </w:pPr>
      <w:proofErr w:type="gramStart"/>
      <w:r>
        <w:rPr>
          <w:sz w:val="22"/>
        </w:rPr>
        <w:t>by</w:t>
      </w:r>
      <w:proofErr w:type="gramEnd"/>
    </w:p>
    <w:p w:rsidR="00282A50" w:rsidRDefault="00282A50">
      <w:pPr>
        <w:rPr>
          <w:sz w:val="22"/>
        </w:rPr>
      </w:pPr>
      <w:r>
        <w:rPr>
          <w:sz w:val="22"/>
        </w:rPr>
        <w:t xml:space="preserve">Bob </w:t>
      </w:r>
      <w:proofErr w:type="spellStart"/>
      <w:r>
        <w:rPr>
          <w:sz w:val="22"/>
        </w:rPr>
        <w:t>Donegan</w:t>
      </w:r>
      <w:proofErr w:type="spellEnd"/>
      <w:r>
        <w:rPr>
          <w:sz w:val="22"/>
        </w:rPr>
        <w:t xml:space="preserve">, </w:t>
      </w:r>
      <w:proofErr w:type="spellStart"/>
      <w:r>
        <w:rPr>
          <w:sz w:val="22"/>
        </w:rPr>
        <w:t>Ivar’s</w:t>
      </w:r>
      <w:proofErr w:type="spellEnd"/>
      <w:r>
        <w:rPr>
          <w:sz w:val="22"/>
        </w:rPr>
        <w:t xml:space="preserve"> Inc., President and Director</w:t>
      </w:r>
    </w:p>
    <w:p w:rsidR="00B418F5" w:rsidRDefault="00282A50">
      <w:pPr>
        <w:rPr>
          <w:sz w:val="22"/>
        </w:rPr>
      </w:pPr>
      <w:r>
        <w:rPr>
          <w:sz w:val="22"/>
        </w:rPr>
        <w:t>Judith Paquette, Bellevue College, Faculty</w:t>
      </w:r>
      <w:r w:rsidR="00B418F5">
        <w:rPr>
          <w:sz w:val="22"/>
        </w:rPr>
        <w:br w:type="page"/>
      </w:r>
    </w:p>
    <w:p w:rsidR="003D64A6" w:rsidRPr="00A27EF5" w:rsidRDefault="003D64A6" w:rsidP="003D64A6">
      <w:pPr>
        <w:rPr>
          <w:sz w:val="22"/>
        </w:rPr>
      </w:pPr>
      <w:r w:rsidRPr="00B418F5">
        <w:rPr>
          <w:sz w:val="22"/>
          <w:u w:val="single"/>
        </w:rPr>
        <w:lastRenderedPageBreak/>
        <w:t>TIPS ON WRITING</w:t>
      </w:r>
      <w:r w:rsidRPr="00A27EF5">
        <w:rPr>
          <w:sz w:val="22"/>
        </w:rPr>
        <w:t xml:space="preserve">:  Write clearly, with emphasis on C-O-E.  </w:t>
      </w:r>
    </w:p>
    <w:p w:rsidR="003D64A6" w:rsidRPr="00A27EF5" w:rsidRDefault="003D64A6" w:rsidP="003D64A6">
      <w:pPr>
        <w:rPr>
          <w:sz w:val="18"/>
        </w:rPr>
      </w:pPr>
      <w:r w:rsidRPr="00A27EF5">
        <w:rPr>
          <w:sz w:val="18"/>
        </w:rPr>
        <w:t>Content:  take a position; provide evidence to support your conclusion, e.g., “Sales have improved dramatically over the three years-- 10% growth in 2001 compared to 2000 and 15% growth in 2002 compared to 2001.”</w:t>
      </w:r>
    </w:p>
    <w:p w:rsidR="003D64A6" w:rsidRPr="00A27EF5" w:rsidRDefault="003D64A6" w:rsidP="003D64A6">
      <w:pPr>
        <w:rPr>
          <w:sz w:val="18"/>
        </w:rPr>
      </w:pPr>
      <w:r w:rsidRPr="00A27EF5">
        <w:rPr>
          <w:sz w:val="18"/>
        </w:rPr>
        <w:t>Organization:  Organize your thoughts clearly; don’t ramble from topic to topic.  For longer paragraphs, make a short outline to assure that you say what you want to say.</w:t>
      </w:r>
    </w:p>
    <w:p w:rsidR="003D64A6" w:rsidRPr="00A27EF5" w:rsidRDefault="003D64A6" w:rsidP="003D64A6">
      <w:pPr>
        <w:rPr>
          <w:sz w:val="18"/>
        </w:rPr>
      </w:pPr>
      <w:r w:rsidRPr="00A27EF5">
        <w:rPr>
          <w:sz w:val="18"/>
        </w:rPr>
        <w:t xml:space="preserve">Editing: Avoid typos and misspellings, avoid run on sentences, awkward sentences.  </w:t>
      </w:r>
      <w:proofErr w:type="gramStart"/>
      <w:r w:rsidRPr="00A27EF5">
        <w:rPr>
          <w:sz w:val="18"/>
        </w:rPr>
        <w:t>Proof read your team members’ writing and give</w:t>
      </w:r>
      <w:proofErr w:type="gramEnd"/>
      <w:r w:rsidRPr="00A27EF5">
        <w:rPr>
          <w:sz w:val="18"/>
        </w:rPr>
        <w:t xml:space="preserve"> them feedback on this.  If you each write different sections, make sure they are written in a consistent style.</w:t>
      </w:r>
    </w:p>
    <w:p w:rsidR="003D64A6" w:rsidRDefault="003D64A6" w:rsidP="003D64A6">
      <w:pPr>
        <w:rPr>
          <w:sz w:val="22"/>
        </w:rPr>
      </w:pPr>
      <w:r w:rsidRPr="00A27EF5">
        <w:rPr>
          <w:sz w:val="22"/>
        </w:rPr>
        <w:t>Note:  When writing about the company, refer to it as an “IT”, not a “THEY.”  Company is singular, not plural.</w:t>
      </w:r>
    </w:p>
    <w:p w:rsidR="00F1731F" w:rsidRPr="00A27EF5" w:rsidRDefault="00F1731F" w:rsidP="003D64A6">
      <w:pPr>
        <w:rPr>
          <w:sz w:val="22"/>
        </w:rPr>
      </w:pPr>
    </w:p>
    <w:tbl>
      <w:tblPr>
        <w:tblW w:w="3960" w:type="dxa"/>
        <w:tblInd w:w="93" w:type="dxa"/>
        <w:tblLook w:val="04A0"/>
      </w:tblPr>
      <w:tblGrid>
        <w:gridCol w:w="3000"/>
        <w:gridCol w:w="960"/>
      </w:tblGrid>
      <w:tr w:rsidR="00A27EF5" w:rsidRPr="00F1731F" w:rsidTr="00F1731F">
        <w:trPr>
          <w:trHeight w:val="255"/>
        </w:trPr>
        <w:tc>
          <w:tcPr>
            <w:tcW w:w="30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3D64A6" w:rsidRPr="00F1731F" w:rsidRDefault="003D64A6" w:rsidP="00655E62">
            <w:pPr>
              <w:rPr>
                <w:b/>
                <w:bCs/>
                <w:sz w:val="20"/>
                <w:szCs w:val="20"/>
              </w:rPr>
            </w:pPr>
            <w:r w:rsidRPr="00F1731F">
              <w:rPr>
                <w:b/>
                <w:bCs/>
                <w:sz w:val="20"/>
                <w:szCs w:val="20"/>
              </w:rPr>
              <w:t>Rubric</w:t>
            </w:r>
          </w:p>
        </w:tc>
        <w:tc>
          <w:tcPr>
            <w:tcW w:w="960"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3D64A6" w:rsidRPr="00F1731F" w:rsidRDefault="003D64A6" w:rsidP="00655E62">
            <w:pPr>
              <w:rPr>
                <w:b/>
                <w:bCs/>
                <w:sz w:val="20"/>
                <w:szCs w:val="20"/>
              </w:rPr>
            </w:pPr>
            <w:r w:rsidRPr="00F1731F">
              <w:rPr>
                <w:b/>
                <w:bCs/>
                <w:sz w:val="20"/>
                <w:szCs w:val="20"/>
              </w:rPr>
              <w:t> </w:t>
            </w:r>
          </w:p>
        </w:tc>
      </w:tr>
      <w:tr w:rsidR="00A27EF5" w:rsidRPr="00A27EF5" w:rsidTr="00655E62">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D64A6" w:rsidRPr="00A27EF5" w:rsidRDefault="003D64A6" w:rsidP="00655E62">
            <w:pPr>
              <w:rPr>
                <w:sz w:val="20"/>
                <w:szCs w:val="20"/>
              </w:rPr>
            </w:pPr>
            <w:proofErr w:type="spellStart"/>
            <w:r w:rsidRPr="00A27EF5">
              <w:rPr>
                <w:sz w:val="20"/>
                <w:szCs w:val="20"/>
              </w:rPr>
              <w:t>NPV</w:t>
            </w:r>
            <w:proofErr w:type="spellEnd"/>
            <w:r w:rsidRPr="00A27EF5">
              <w:rPr>
                <w:sz w:val="20"/>
                <w:szCs w:val="20"/>
              </w:rPr>
              <w:t>/Payback</w:t>
            </w:r>
          </w:p>
        </w:tc>
        <w:tc>
          <w:tcPr>
            <w:tcW w:w="960" w:type="dxa"/>
            <w:tcBorders>
              <w:top w:val="nil"/>
              <w:left w:val="nil"/>
              <w:bottom w:val="single" w:sz="4" w:space="0" w:color="auto"/>
              <w:right w:val="single" w:sz="4" w:space="0" w:color="auto"/>
            </w:tcBorders>
            <w:shd w:val="clear" w:color="auto" w:fill="auto"/>
            <w:noWrap/>
            <w:vAlign w:val="bottom"/>
            <w:hideMark/>
          </w:tcPr>
          <w:p w:rsidR="003D64A6" w:rsidRPr="00A27EF5" w:rsidRDefault="003D64A6" w:rsidP="005F390F">
            <w:pPr>
              <w:jc w:val="right"/>
              <w:rPr>
                <w:sz w:val="20"/>
                <w:szCs w:val="20"/>
              </w:rPr>
            </w:pPr>
            <w:r w:rsidRPr="00A27EF5">
              <w:rPr>
                <w:sz w:val="20"/>
                <w:szCs w:val="20"/>
              </w:rPr>
              <w:t>1</w:t>
            </w:r>
            <w:r w:rsidR="005F390F" w:rsidRPr="00A27EF5">
              <w:rPr>
                <w:sz w:val="20"/>
                <w:szCs w:val="20"/>
              </w:rPr>
              <w:t>0</w:t>
            </w:r>
          </w:p>
        </w:tc>
      </w:tr>
      <w:tr w:rsidR="00A27EF5" w:rsidRPr="00A27EF5" w:rsidTr="00655E62">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D64A6" w:rsidRPr="00A27EF5" w:rsidRDefault="003D64A6" w:rsidP="00655E62">
            <w:pPr>
              <w:rPr>
                <w:sz w:val="20"/>
                <w:szCs w:val="20"/>
              </w:rPr>
            </w:pPr>
            <w:r w:rsidRPr="00A27EF5">
              <w:rPr>
                <w:sz w:val="20"/>
                <w:szCs w:val="20"/>
              </w:rPr>
              <w:t xml:space="preserve">Decision/Discussion </w:t>
            </w:r>
          </w:p>
        </w:tc>
        <w:tc>
          <w:tcPr>
            <w:tcW w:w="960" w:type="dxa"/>
            <w:tcBorders>
              <w:top w:val="nil"/>
              <w:left w:val="nil"/>
              <w:bottom w:val="single" w:sz="4" w:space="0" w:color="auto"/>
              <w:right w:val="single" w:sz="4" w:space="0" w:color="auto"/>
            </w:tcBorders>
            <w:shd w:val="clear" w:color="auto" w:fill="auto"/>
            <w:noWrap/>
            <w:vAlign w:val="bottom"/>
            <w:hideMark/>
          </w:tcPr>
          <w:p w:rsidR="003D64A6" w:rsidRPr="00A27EF5" w:rsidRDefault="003D64A6" w:rsidP="00655E62">
            <w:pPr>
              <w:jc w:val="right"/>
              <w:rPr>
                <w:sz w:val="20"/>
                <w:szCs w:val="20"/>
              </w:rPr>
            </w:pPr>
            <w:r w:rsidRPr="00A27EF5">
              <w:rPr>
                <w:sz w:val="20"/>
                <w:szCs w:val="20"/>
              </w:rPr>
              <w:t>10</w:t>
            </w:r>
          </w:p>
        </w:tc>
      </w:tr>
      <w:tr w:rsidR="00A27EF5" w:rsidRPr="00A27EF5" w:rsidTr="00655E62">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D64A6" w:rsidRPr="00A27EF5" w:rsidRDefault="003D64A6" w:rsidP="00655E62">
            <w:pPr>
              <w:rPr>
                <w:sz w:val="20"/>
                <w:szCs w:val="20"/>
              </w:rPr>
            </w:pPr>
            <w:r w:rsidRPr="00A27EF5">
              <w:rPr>
                <w:sz w:val="20"/>
                <w:szCs w:val="20"/>
              </w:rPr>
              <w:t>Intangible Costs/Benefits</w:t>
            </w:r>
          </w:p>
        </w:tc>
        <w:tc>
          <w:tcPr>
            <w:tcW w:w="960" w:type="dxa"/>
            <w:tcBorders>
              <w:top w:val="nil"/>
              <w:left w:val="nil"/>
              <w:bottom w:val="single" w:sz="4" w:space="0" w:color="auto"/>
              <w:right w:val="single" w:sz="4" w:space="0" w:color="auto"/>
            </w:tcBorders>
            <w:shd w:val="clear" w:color="auto" w:fill="auto"/>
            <w:noWrap/>
            <w:vAlign w:val="bottom"/>
            <w:hideMark/>
          </w:tcPr>
          <w:p w:rsidR="003D64A6" w:rsidRPr="00A27EF5" w:rsidRDefault="003D64A6" w:rsidP="00655E62">
            <w:pPr>
              <w:jc w:val="right"/>
              <w:rPr>
                <w:sz w:val="20"/>
                <w:szCs w:val="20"/>
              </w:rPr>
            </w:pPr>
            <w:r w:rsidRPr="00A27EF5">
              <w:rPr>
                <w:sz w:val="20"/>
                <w:szCs w:val="20"/>
              </w:rPr>
              <w:t>5</w:t>
            </w:r>
          </w:p>
        </w:tc>
      </w:tr>
      <w:tr w:rsidR="00A27EF5" w:rsidRPr="00A27EF5" w:rsidTr="00655E62">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D64A6" w:rsidRPr="00A27EF5" w:rsidRDefault="003D64A6" w:rsidP="00655E62">
            <w:pPr>
              <w:rPr>
                <w:sz w:val="20"/>
                <w:szCs w:val="20"/>
              </w:rPr>
            </w:pPr>
            <w:r w:rsidRPr="00A27EF5">
              <w:rPr>
                <w:sz w:val="20"/>
                <w:szCs w:val="20"/>
              </w:rPr>
              <w:t xml:space="preserve">Balanced Scorecard </w:t>
            </w:r>
          </w:p>
        </w:tc>
        <w:tc>
          <w:tcPr>
            <w:tcW w:w="960" w:type="dxa"/>
            <w:tcBorders>
              <w:top w:val="nil"/>
              <w:left w:val="nil"/>
              <w:bottom w:val="single" w:sz="4" w:space="0" w:color="auto"/>
              <w:right w:val="single" w:sz="4" w:space="0" w:color="auto"/>
            </w:tcBorders>
            <w:shd w:val="clear" w:color="auto" w:fill="auto"/>
            <w:noWrap/>
            <w:vAlign w:val="bottom"/>
            <w:hideMark/>
          </w:tcPr>
          <w:p w:rsidR="003D64A6" w:rsidRPr="00A27EF5" w:rsidRDefault="005F390F" w:rsidP="00655E62">
            <w:pPr>
              <w:jc w:val="right"/>
              <w:rPr>
                <w:sz w:val="20"/>
                <w:szCs w:val="20"/>
              </w:rPr>
            </w:pPr>
            <w:r w:rsidRPr="00A27EF5">
              <w:rPr>
                <w:sz w:val="20"/>
                <w:szCs w:val="20"/>
              </w:rPr>
              <w:t>10</w:t>
            </w:r>
          </w:p>
        </w:tc>
      </w:tr>
      <w:tr w:rsidR="006B6952" w:rsidRPr="00A27EF5" w:rsidTr="00540D0E">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B6952" w:rsidRPr="00A27EF5" w:rsidRDefault="006B6952" w:rsidP="00540D0E">
            <w:pPr>
              <w:rPr>
                <w:sz w:val="20"/>
                <w:szCs w:val="20"/>
              </w:rPr>
            </w:pPr>
            <w:proofErr w:type="spellStart"/>
            <w:r w:rsidRPr="00A27EF5">
              <w:rPr>
                <w:sz w:val="20"/>
                <w:szCs w:val="20"/>
              </w:rPr>
              <w:t>www.Turnitin.com</w:t>
            </w:r>
            <w:proofErr w:type="spellEnd"/>
            <w:r w:rsidRPr="00A27EF5">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6952" w:rsidRPr="00A27EF5" w:rsidRDefault="006B6952" w:rsidP="00540D0E">
            <w:pPr>
              <w:jc w:val="right"/>
              <w:rPr>
                <w:sz w:val="20"/>
                <w:szCs w:val="20"/>
              </w:rPr>
            </w:pPr>
            <w:r w:rsidRPr="00A27EF5">
              <w:rPr>
                <w:sz w:val="20"/>
                <w:szCs w:val="20"/>
              </w:rPr>
              <w:t>5</w:t>
            </w:r>
          </w:p>
        </w:tc>
      </w:tr>
      <w:tr w:rsidR="006B6952" w:rsidRPr="00A27EF5" w:rsidTr="00B735A4">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B6952" w:rsidRPr="006B6952" w:rsidRDefault="006B6952" w:rsidP="00B735A4">
            <w:pPr>
              <w:rPr>
                <w:b/>
                <w:sz w:val="18"/>
                <w:szCs w:val="20"/>
              </w:rPr>
            </w:pPr>
            <w:r w:rsidRPr="006B6952">
              <w:rPr>
                <w:b/>
                <w:sz w:val="18"/>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6B6952" w:rsidRPr="00A27EF5" w:rsidRDefault="006B6952" w:rsidP="006B6952">
            <w:pPr>
              <w:jc w:val="right"/>
              <w:rPr>
                <w:sz w:val="18"/>
                <w:szCs w:val="20"/>
              </w:rPr>
            </w:pPr>
            <w:r w:rsidRPr="00A27EF5">
              <w:rPr>
                <w:sz w:val="18"/>
                <w:szCs w:val="20"/>
              </w:rPr>
              <w:t>4</w:t>
            </w:r>
            <w:r>
              <w:rPr>
                <w:sz w:val="18"/>
                <w:szCs w:val="20"/>
              </w:rPr>
              <w:t>0</w:t>
            </w:r>
          </w:p>
        </w:tc>
      </w:tr>
      <w:tr w:rsidR="006B6952" w:rsidRPr="00A27EF5" w:rsidTr="00655E62">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6B6952" w:rsidRPr="00A27EF5" w:rsidRDefault="006B6952" w:rsidP="00655E62">
            <w:pPr>
              <w:rPr>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6B6952" w:rsidRPr="00A27EF5" w:rsidRDefault="006B6952" w:rsidP="00655E62">
            <w:pPr>
              <w:jc w:val="right"/>
              <w:rPr>
                <w:sz w:val="20"/>
                <w:szCs w:val="20"/>
              </w:rPr>
            </w:pPr>
          </w:p>
        </w:tc>
      </w:tr>
      <w:tr w:rsidR="00A27EF5" w:rsidRPr="00A27EF5" w:rsidTr="00655E62">
        <w:trPr>
          <w:trHeight w:val="25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3D64A6" w:rsidRPr="00A27EF5" w:rsidRDefault="003D64A6" w:rsidP="00655E62">
            <w:pPr>
              <w:rPr>
                <w:sz w:val="20"/>
                <w:szCs w:val="20"/>
              </w:rPr>
            </w:pPr>
            <w:r w:rsidRPr="00A27EF5">
              <w:rPr>
                <w:sz w:val="20"/>
                <w:szCs w:val="20"/>
              </w:rPr>
              <w:t>Reflections - submit separately</w:t>
            </w:r>
          </w:p>
        </w:tc>
        <w:tc>
          <w:tcPr>
            <w:tcW w:w="960" w:type="dxa"/>
            <w:tcBorders>
              <w:top w:val="nil"/>
              <w:left w:val="nil"/>
              <w:bottom w:val="single" w:sz="4" w:space="0" w:color="auto"/>
              <w:right w:val="single" w:sz="4" w:space="0" w:color="auto"/>
            </w:tcBorders>
            <w:shd w:val="clear" w:color="auto" w:fill="auto"/>
            <w:noWrap/>
            <w:vAlign w:val="bottom"/>
            <w:hideMark/>
          </w:tcPr>
          <w:p w:rsidR="003D64A6" w:rsidRPr="00A27EF5" w:rsidRDefault="003D64A6" w:rsidP="00655E62">
            <w:pPr>
              <w:jc w:val="right"/>
              <w:rPr>
                <w:sz w:val="20"/>
                <w:szCs w:val="20"/>
              </w:rPr>
            </w:pPr>
            <w:r w:rsidRPr="00A27EF5">
              <w:rPr>
                <w:sz w:val="20"/>
                <w:szCs w:val="20"/>
              </w:rPr>
              <w:t>5</w:t>
            </w:r>
          </w:p>
        </w:tc>
      </w:tr>
    </w:tbl>
    <w:p w:rsidR="003D64A6" w:rsidRPr="00A27EF5" w:rsidRDefault="003D64A6" w:rsidP="003D64A6"/>
    <w:p w:rsidR="00773FFB" w:rsidRPr="00A27EF5" w:rsidRDefault="00773FFB">
      <w:pPr>
        <w:rPr>
          <w:bCs/>
          <w:u w:val="single"/>
        </w:rPr>
      </w:pPr>
    </w:p>
    <w:p w:rsidR="00416DB7" w:rsidRPr="00A27EF5" w:rsidRDefault="00416DB7">
      <w:pPr>
        <w:rPr>
          <w:bCs/>
          <w:u w:val="single"/>
        </w:rPr>
      </w:pPr>
    </w:p>
    <w:p w:rsidR="00416DB7" w:rsidRPr="00A27EF5" w:rsidRDefault="00416DB7">
      <w:pPr>
        <w:rPr>
          <w:bCs/>
          <w:u w:val="single"/>
        </w:rPr>
      </w:pPr>
    </w:p>
    <w:p w:rsidR="00416DB7" w:rsidRPr="00A27EF5" w:rsidRDefault="00416DB7">
      <w:pPr>
        <w:rPr>
          <w:bCs/>
          <w:u w:val="single"/>
        </w:rPr>
      </w:pPr>
    </w:p>
    <w:p w:rsidR="00416DB7" w:rsidRPr="00A27EF5" w:rsidRDefault="00416DB7">
      <w:pPr>
        <w:rPr>
          <w:bCs/>
          <w:u w:val="single"/>
        </w:rPr>
      </w:pPr>
    </w:p>
    <w:p w:rsidR="00416DB7" w:rsidRPr="00A27EF5" w:rsidRDefault="00416DB7">
      <w:pPr>
        <w:rPr>
          <w:bCs/>
          <w:u w:val="single"/>
        </w:rPr>
      </w:pPr>
    </w:p>
    <w:p w:rsidR="00416DB7" w:rsidRPr="00A27EF5" w:rsidRDefault="00416DB7">
      <w:pPr>
        <w:rPr>
          <w:bCs/>
          <w:u w:val="single"/>
        </w:rPr>
      </w:pPr>
    </w:p>
    <w:p w:rsidR="00F93D36" w:rsidRPr="00B418F5" w:rsidRDefault="00E215F5">
      <w:pPr>
        <w:rPr>
          <w:b/>
          <w:bCs/>
          <w:u w:val="single"/>
        </w:rPr>
      </w:pPr>
      <w:r w:rsidRPr="00B418F5">
        <w:rPr>
          <w:b/>
          <w:bCs/>
          <w:u w:val="single"/>
        </w:rPr>
        <w:t>Bibliography</w:t>
      </w:r>
    </w:p>
    <w:p w:rsidR="00646E1C" w:rsidRPr="00A27EF5" w:rsidRDefault="00646E1C">
      <w:pPr>
        <w:rPr>
          <w:bCs/>
          <w:u w:val="single"/>
        </w:rPr>
      </w:pPr>
    </w:p>
    <w:p w:rsidR="00F93D36" w:rsidRPr="00A27EF5" w:rsidRDefault="00646E1C">
      <w:pPr>
        <w:rPr>
          <w:bCs/>
        </w:rPr>
      </w:pPr>
      <w:proofErr w:type="spellStart"/>
      <w:r w:rsidRPr="00A27EF5">
        <w:rPr>
          <w:bCs/>
        </w:rPr>
        <w:t>Liddle</w:t>
      </w:r>
      <w:proofErr w:type="spellEnd"/>
      <w:r w:rsidRPr="00A27EF5">
        <w:rPr>
          <w:bCs/>
        </w:rPr>
        <w:t>, Alan J., “</w:t>
      </w:r>
      <w:proofErr w:type="spellStart"/>
      <w:r w:rsidR="00773FFB" w:rsidRPr="00A27EF5">
        <w:rPr>
          <w:bCs/>
        </w:rPr>
        <w:t>Ivar’s</w:t>
      </w:r>
      <w:proofErr w:type="spellEnd"/>
      <w:r w:rsidR="00773FFB" w:rsidRPr="00A27EF5">
        <w:rPr>
          <w:bCs/>
        </w:rPr>
        <w:t xml:space="preserve"> celebrates the old-fashioned way: tallying sales and higher growth,</w:t>
      </w:r>
      <w:r w:rsidRPr="00A27EF5">
        <w:rPr>
          <w:bCs/>
        </w:rPr>
        <w:t>”</w:t>
      </w:r>
      <w:r w:rsidR="00773FFB" w:rsidRPr="00A27EF5">
        <w:rPr>
          <w:bCs/>
        </w:rPr>
        <w:t xml:space="preserve"> </w:t>
      </w:r>
      <w:r w:rsidRPr="00A27EF5">
        <w:rPr>
          <w:bCs/>
        </w:rPr>
        <w:t xml:space="preserve">New York:  </w:t>
      </w:r>
      <w:r w:rsidR="00773FFB" w:rsidRPr="00A27EF5">
        <w:rPr>
          <w:bCs/>
          <w:i/>
        </w:rPr>
        <w:t>Nations Restaurant News</w:t>
      </w:r>
      <w:r w:rsidR="00773FFB" w:rsidRPr="00A27EF5">
        <w:rPr>
          <w:bCs/>
        </w:rPr>
        <w:t xml:space="preserve">, </w:t>
      </w:r>
      <w:r w:rsidRPr="00A27EF5">
        <w:rPr>
          <w:bCs/>
        </w:rPr>
        <w:t>(</w:t>
      </w:r>
      <w:r w:rsidR="00773FFB" w:rsidRPr="00A27EF5">
        <w:rPr>
          <w:bCs/>
        </w:rPr>
        <w:t>April 11, 2005</w:t>
      </w:r>
      <w:r w:rsidRPr="00A27EF5">
        <w:rPr>
          <w:bCs/>
        </w:rPr>
        <w:t>)</w:t>
      </w:r>
      <w:r w:rsidR="00193469" w:rsidRPr="00A27EF5">
        <w:rPr>
          <w:bCs/>
        </w:rPr>
        <w:t>: 4, 121.</w:t>
      </w:r>
      <w:r w:rsidRPr="00A27EF5">
        <w:rPr>
          <w:bCs/>
        </w:rPr>
        <w:t xml:space="preserve"> Print.</w:t>
      </w:r>
      <w:r w:rsidR="007E617B" w:rsidRPr="00A27EF5">
        <w:rPr>
          <w:bCs/>
        </w:rPr>
        <w:t xml:space="preserve"> </w:t>
      </w:r>
      <w:hyperlink r:id="rId14" w:history="1">
        <w:r w:rsidR="007E617B" w:rsidRPr="00256FC8">
          <w:rPr>
            <w:rStyle w:val="Hyperlink"/>
            <w:i/>
            <w:sz w:val="18"/>
          </w:rPr>
          <w:t>http://connection.ebscohost.com/c/articles/16761795/ivars-celebrates-age-old-fashioned-way-tallying-higher-sales-growth</w:t>
        </w:r>
      </w:hyperlink>
    </w:p>
    <w:p w:rsidR="00193469" w:rsidRPr="00A27EF5" w:rsidRDefault="00193469">
      <w:pPr>
        <w:rPr>
          <w:bCs/>
          <w:u w:val="single"/>
        </w:rPr>
      </w:pPr>
    </w:p>
    <w:p w:rsidR="00193469" w:rsidRPr="00256FC8" w:rsidRDefault="00193469" w:rsidP="00193469">
      <w:pPr>
        <w:rPr>
          <w:rStyle w:val="Hyperlink"/>
          <w:i/>
          <w:sz w:val="18"/>
        </w:rPr>
      </w:pPr>
      <w:proofErr w:type="spellStart"/>
      <w:r w:rsidRPr="00A27EF5">
        <w:t>Grizzanti</w:t>
      </w:r>
      <w:proofErr w:type="spellEnd"/>
      <w:r w:rsidRPr="00A27EF5">
        <w:t>, Jessica, “I</w:t>
      </w:r>
      <w:r w:rsidRPr="00A27EF5">
        <w:rPr>
          <w:bCs/>
          <w:sz w:val="27"/>
          <w:szCs w:val="27"/>
        </w:rPr>
        <w:t xml:space="preserve">t's also a real supper bowl/ whether you're a </w:t>
      </w:r>
      <w:r w:rsidR="009F1E87" w:rsidRPr="00A27EF5">
        <w:rPr>
          <w:bCs/>
          <w:sz w:val="27"/>
          <w:szCs w:val="27"/>
        </w:rPr>
        <w:t xml:space="preserve">Steelers </w:t>
      </w:r>
      <w:r w:rsidRPr="00A27EF5">
        <w:rPr>
          <w:bCs/>
          <w:sz w:val="27"/>
          <w:szCs w:val="27"/>
        </w:rPr>
        <w:t xml:space="preserve">or </w:t>
      </w:r>
      <w:r w:rsidR="009F1E87" w:rsidRPr="00A27EF5">
        <w:rPr>
          <w:bCs/>
          <w:sz w:val="27"/>
          <w:szCs w:val="27"/>
        </w:rPr>
        <w:t xml:space="preserve">Seahawks </w:t>
      </w:r>
      <w:r w:rsidRPr="00A27EF5">
        <w:rPr>
          <w:bCs/>
          <w:sz w:val="27"/>
          <w:szCs w:val="27"/>
        </w:rPr>
        <w:t>fan, there's plenty to eat to support both teams”</w:t>
      </w:r>
      <w:r w:rsidRPr="00A27EF5">
        <w:t xml:space="preserve">, Pennsylvania: </w:t>
      </w:r>
      <w:r w:rsidRPr="00A27EF5">
        <w:rPr>
          <w:i/>
        </w:rPr>
        <w:t xml:space="preserve">The Times Leader </w:t>
      </w:r>
      <w:r w:rsidRPr="00A27EF5">
        <w:t xml:space="preserve">(Wilkes </w:t>
      </w:r>
      <w:proofErr w:type="spellStart"/>
      <w:r w:rsidRPr="00A27EF5">
        <w:t>Barre</w:t>
      </w:r>
      <w:proofErr w:type="spellEnd"/>
      <w:r w:rsidRPr="00A27EF5">
        <w:t xml:space="preserve">), (February 2, 2006):  </w:t>
      </w:r>
      <w:proofErr w:type="spellStart"/>
      <w:r w:rsidRPr="00A27EF5">
        <w:t>1A</w:t>
      </w:r>
      <w:proofErr w:type="spellEnd"/>
      <w:r w:rsidRPr="00A27EF5">
        <w:t>, Print</w:t>
      </w:r>
      <w:r w:rsidRPr="00A27EF5">
        <w:rPr>
          <w:rStyle w:val="Hyperlink"/>
          <w:i/>
          <w:color w:val="auto"/>
          <w:sz w:val="18"/>
        </w:rPr>
        <w:t>.</w:t>
      </w:r>
      <w:r w:rsidR="007E617B" w:rsidRPr="00A27EF5">
        <w:rPr>
          <w:rStyle w:val="Hyperlink"/>
          <w:i/>
          <w:color w:val="auto"/>
          <w:sz w:val="18"/>
        </w:rPr>
        <w:t xml:space="preserve">  </w:t>
      </w:r>
      <w:hyperlink r:id="rId15" w:history="1">
        <w:r w:rsidR="007E617B" w:rsidRPr="00256FC8">
          <w:rPr>
            <w:rStyle w:val="Hyperlink"/>
            <w:i/>
            <w:sz w:val="18"/>
          </w:rPr>
          <w:t>http://www.accessmylibrary.com/article-1G1-141596951/also-real-supper-bowl.html</w:t>
        </w:r>
      </w:hyperlink>
    </w:p>
    <w:p w:rsidR="00193469" w:rsidRPr="00A27EF5" w:rsidRDefault="00193469">
      <w:pPr>
        <w:rPr>
          <w:bCs/>
          <w:u w:val="single"/>
        </w:rPr>
      </w:pPr>
    </w:p>
    <w:p w:rsidR="007607CF" w:rsidRPr="00A27EF5" w:rsidRDefault="007607CF" w:rsidP="007607CF">
      <w:pPr>
        <w:rPr>
          <w:bCs/>
          <w:i/>
        </w:rPr>
      </w:pPr>
      <w:proofErr w:type="spellStart"/>
      <w:r w:rsidRPr="00A27EF5">
        <w:rPr>
          <w:bCs/>
        </w:rPr>
        <w:t>Depken</w:t>
      </w:r>
      <w:proofErr w:type="spellEnd"/>
      <w:r w:rsidRPr="00A27EF5">
        <w:rPr>
          <w:bCs/>
        </w:rPr>
        <w:t xml:space="preserve">, Craig, II, “New Stadiums and Concession Prices in Professional Football and Baseball”, Texas: </w:t>
      </w:r>
      <w:r w:rsidR="007E617B" w:rsidRPr="00A27EF5">
        <w:rPr>
          <w:bCs/>
          <w:i/>
        </w:rPr>
        <w:t>unpublished</w:t>
      </w:r>
      <w:r w:rsidR="007531EB" w:rsidRPr="00A27EF5">
        <w:rPr>
          <w:bCs/>
          <w:i/>
        </w:rPr>
        <w:t xml:space="preserve"> (data from 1991 to 2001)</w:t>
      </w:r>
      <w:r w:rsidR="007E617B" w:rsidRPr="00A27EF5">
        <w:rPr>
          <w:bCs/>
          <w:i/>
        </w:rPr>
        <w:t xml:space="preserve"> </w:t>
      </w:r>
      <w:hyperlink r:id="rId16" w:history="1">
        <w:proofErr w:type="spellStart"/>
        <w:r w:rsidR="007E617B" w:rsidRPr="00256FC8">
          <w:rPr>
            <w:rStyle w:val="Hyperlink"/>
            <w:i/>
            <w:sz w:val="18"/>
          </w:rPr>
          <w:t>http://belkcollegeofbusiness.uncc.edu/cdepken/papers.html</w:t>
        </w:r>
        <w:proofErr w:type="spellEnd"/>
      </w:hyperlink>
    </w:p>
    <w:p w:rsidR="007607CF" w:rsidRPr="00A27EF5" w:rsidRDefault="007607CF">
      <w:pPr>
        <w:rPr>
          <w:bCs/>
        </w:rPr>
      </w:pPr>
    </w:p>
    <w:p w:rsidR="0034242A" w:rsidRDefault="0034242A">
      <w:pPr>
        <w:rPr>
          <w:rFonts w:ascii="Arial" w:hAnsi="Arial" w:cs="Arial"/>
          <w:bCs/>
          <w:sz w:val="20"/>
          <w:szCs w:val="20"/>
          <w:shd w:val="clear" w:color="auto" w:fill="FFFFFF"/>
        </w:rPr>
      </w:pPr>
      <w:r>
        <w:rPr>
          <w:rFonts w:ascii="Arial" w:hAnsi="Arial" w:cs="Arial"/>
          <w:bCs/>
          <w:sz w:val="20"/>
          <w:szCs w:val="20"/>
          <w:shd w:val="clear" w:color="auto" w:fill="FFFFFF"/>
        </w:rPr>
        <w:br w:type="page"/>
      </w:r>
    </w:p>
    <w:tbl>
      <w:tblPr>
        <w:tblW w:w="10154" w:type="dxa"/>
        <w:tblInd w:w="95" w:type="dxa"/>
        <w:tblLook w:val="04A0"/>
      </w:tblPr>
      <w:tblGrid>
        <w:gridCol w:w="816"/>
        <w:gridCol w:w="2438"/>
        <w:gridCol w:w="1960"/>
        <w:gridCol w:w="1720"/>
        <w:gridCol w:w="1380"/>
        <w:gridCol w:w="1840"/>
      </w:tblGrid>
      <w:tr w:rsidR="0034242A" w:rsidTr="0034242A">
        <w:trPr>
          <w:trHeight w:val="330"/>
        </w:trPr>
        <w:tc>
          <w:tcPr>
            <w:tcW w:w="3254" w:type="dxa"/>
            <w:gridSpan w:val="2"/>
            <w:tcBorders>
              <w:top w:val="nil"/>
              <w:left w:val="nil"/>
              <w:bottom w:val="nil"/>
              <w:right w:val="nil"/>
            </w:tcBorders>
            <w:shd w:val="clear" w:color="000000" w:fill="FFFF00"/>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lastRenderedPageBreak/>
              <w:t>Sales and Cost Projections*</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r>
      <w:tr w:rsidR="0034242A" w:rsidTr="0034242A">
        <w:trPr>
          <w:trHeight w:val="330"/>
        </w:trPr>
        <w:tc>
          <w:tcPr>
            <w:tcW w:w="3254" w:type="dxa"/>
            <w:gridSpan w:val="2"/>
            <w:tcBorders>
              <w:top w:val="nil"/>
              <w:left w:val="nil"/>
              <w:bottom w:val="nil"/>
              <w:right w:val="nil"/>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Qwest Field</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r>
      <w:tr w:rsidR="0034242A" w:rsidTr="0034242A">
        <w:trPr>
          <w:trHeight w:val="330"/>
        </w:trPr>
        <w:tc>
          <w:tcPr>
            <w:tcW w:w="5214" w:type="dxa"/>
            <w:gridSpan w:val="3"/>
            <w:tcBorders>
              <w:top w:val="single" w:sz="4" w:space="0" w:color="auto"/>
              <w:left w:val="single" w:sz="4" w:space="0" w:color="auto"/>
              <w:bottom w:val="nil"/>
              <w:right w:val="nil"/>
            </w:tcBorders>
            <w:shd w:val="clear" w:color="000000" w:fill="EAF1DD"/>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SALES FORECAST - 3 SCENARIOS</w:t>
            </w:r>
          </w:p>
        </w:tc>
        <w:tc>
          <w:tcPr>
            <w:tcW w:w="1720" w:type="dxa"/>
            <w:tcBorders>
              <w:top w:val="single" w:sz="4" w:space="0" w:color="auto"/>
              <w:left w:val="nil"/>
              <w:bottom w:val="nil"/>
              <w:right w:val="nil"/>
            </w:tcBorders>
            <w:shd w:val="clear" w:color="000000" w:fill="EAF1DD"/>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380" w:type="dxa"/>
            <w:tcBorders>
              <w:top w:val="single" w:sz="4" w:space="0" w:color="auto"/>
              <w:left w:val="nil"/>
              <w:bottom w:val="nil"/>
              <w:right w:val="nil"/>
            </w:tcBorders>
            <w:shd w:val="clear" w:color="000000" w:fill="EAF1DD"/>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840" w:type="dxa"/>
            <w:tcBorders>
              <w:top w:val="single" w:sz="4" w:space="0" w:color="auto"/>
              <w:left w:val="nil"/>
              <w:bottom w:val="nil"/>
              <w:right w:val="single" w:sz="4" w:space="0" w:color="auto"/>
            </w:tcBorders>
            <w:shd w:val="clear" w:color="000000" w:fill="EAF1DD"/>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r>
      <w:tr w:rsidR="0034242A" w:rsidTr="0034242A">
        <w:trPr>
          <w:trHeight w:val="330"/>
        </w:trPr>
        <w:tc>
          <w:tcPr>
            <w:tcW w:w="8314" w:type="dxa"/>
            <w:gridSpan w:val="5"/>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Optimistic - initial year 10% more than realistic, with 8% annual growth</w:t>
            </w: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816" w:type="dxa"/>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2438"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2004-05</w:t>
            </w:r>
          </w:p>
        </w:tc>
        <w:tc>
          <w:tcPr>
            <w:tcW w:w="196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2005-06</w:t>
            </w:r>
          </w:p>
        </w:tc>
        <w:tc>
          <w:tcPr>
            <w:tcW w:w="172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2006-07</w:t>
            </w:r>
          </w:p>
        </w:tc>
        <w:tc>
          <w:tcPr>
            <w:tcW w:w="138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2007-08</w:t>
            </w:r>
          </w:p>
        </w:tc>
        <w:tc>
          <w:tcPr>
            <w:tcW w:w="1840" w:type="dxa"/>
            <w:tcBorders>
              <w:top w:val="nil"/>
              <w:left w:val="nil"/>
              <w:bottom w:val="single" w:sz="4" w:space="0" w:color="auto"/>
              <w:right w:val="single" w:sz="4" w:space="0" w:color="auto"/>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2008-09</w:t>
            </w:r>
          </w:p>
        </w:tc>
      </w:tr>
      <w:tr w:rsidR="0034242A" w:rsidTr="0034242A">
        <w:trPr>
          <w:trHeight w:val="330"/>
        </w:trPr>
        <w:tc>
          <w:tcPr>
            <w:tcW w:w="816" w:type="dxa"/>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Sales </w:t>
            </w:r>
          </w:p>
        </w:tc>
        <w:tc>
          <w:tcPr>
            <w:tcW w:w="2438"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1,650,000 </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1,780,000 </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1,920,000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2,070,000 </w:t>
            </w: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2,240,000 </w:t>
            </w:r>
          </w:p>
        </w:tc>
      </w:tr>
      <w:tr w:rsidR="0034242A" w:rsidTr="0034242A">
        <w:trPr>
          <w:trHeight w:val="330"/>
        </w:trPr>
        <w:tc>
          <w:tcPr>
            <w:tcW w:w="8314" w:type="dxa"/>
            <w:gridSpan w:val="5"/>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Realistic - Initial based on Safeco history, with a 2 % annual growth</w:t>
            </w: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816" w:type="dxa"/>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2438"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2004-05</w:t>
            </w:r>
          </w:p>
        </w:tc>
        <w:tc>
          <w:tcPr>
            <w:tcW w:w="196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2005-06</w:t>
            </w:r>
          </w:p>
        </w:tc>
        <w:tc>
          <w:tcPr>
            <w:tcW w:w="172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2006-07</w:t>
            </w:r>
          </w:p>
        </w:tc>
        <w:tc>
          <w:tcPr>
            <w:tcW w:w="138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2007-08</w:t>
            </w:r>
          </w:p>
        </w:tc>
        <w:tc>
          <w:tcPr>
            <w:tcW w:w="1840" w:type="dxa"/>
            <w:tcBorders>
              <w:top w:val="nil"/>
              <w:left w:val="nil"/>
              <w:bottom w:val="single" w:sz="4" w:space="0" w:color="auto"/>
              <w:right w:val="single" w:sz="4" w:space="0" w:color="auto"/>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2008-09</w:t>
            </w:r>
          </w:p>
        </w:tc>
      </w:tr>
      <w:tr w:rsidR="0034242A" w:rsidTr="0034242A">
        <w:trPr>
          <w:trHeight w:val="330"/>
        </w:trPr>
        <w:tc>
          <w:tcPr>
            <w:tcW w:w="816" w:type="dxa"/>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Sales </w:t>
            </w:r>
          </w:p>
        </w:tc>
        <w:tc>
          <w:tcPr>
            <w:tcW w:w="2438"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1,500,000 </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1,530,000 </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1,560,000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1,590,000 </w:t>
            </w: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1,620,000 </w:t>
            </w:r>
          </w:p>
        </w:tc>
      </w:tr>
      <w:tr w:rsidR="0034242A" w:rsidTr="0034242A">
        <w:trPr>
          <w:trHeight w:val="330"/>
        </w:trPr>
        <w:tc>
          <w:tcPr>
            <w:tcW w:w="8314" w:type="dxa"/>
            <w:gridSpan w:val="5"/>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xml:space="preserve">Pessimistic - Initial </w:t>
            </w:r>
            <w:r w:rsidR="00EE41F2">
              <w:rPr>
                <w:rFonts w:ascii="Century Gothic" w:hAnsi="Century Gothic" w:cs="Arial"/>
                <w:b/>
                <w:bCs/>
                <w:sz w:val="22"/>
                <w:szCs w:val="22"/>
              </w:rPr>
              <w:t>year 85% of optimistic, with a 1</w:t>
            </w:r>
            <w:r>
              <w:rPr>
                <w:rFonts w:ascii="Century Gothic" w:hAnsi="Century Gothic" w:cs="Arial"/>
                <w:b/>
                <w:bCs/>
                <w:sz w:val="22"/>
                <w:szCs w:val="22"/>
              </w:rPr>
              <w:t xml:space="preserve"> % annual growth</w:t>
            </w: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816" w:type="dxa"/>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2438"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2004-05</w:t>
            </w:r>
          </w:p>
        </w:tc>
        <w:tc>
          <w:tcPr>
            <w:tcW w:w="196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2005-06</w:t>
            </w:r>
          </w:p>
        </w:tc>
        <w:tc>
          <w:tcPr>
            <w:tcW w:w="172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2006-07</w:t>
            </w:r>
          </w:p>
        </w:tc>
        <w:tc>
          <w:tcPr>
            <w:tcW w:w="1380" w:type="dxa"/>
            <w:tcBorders>
              <w:top w:val="nil"/>
              <w:left w:val="nil"/>
              <w:bottom w:val="single" w:sz="4" w:space="0" w:color="auto"/>
              <w:right w:val="nil"/>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2007-08</w:t>
            </w:r>
          </w:p>
        </w:tc>
        <w:tc>
          <w:tcPr>
            <w:tcW w:w="1840" w:type="dxa"/>
            <w:tcBorders>
              <w:top w:val="nil"/>
              <w:left w:val="nil"/>
              <w:bottom w:val="single" w:sz="4" w:space="0" w:color="auto"/>
              <w:right w:val="single" w:sz="4" w:space="0" w:color="auto"/>
            </w:tcBorders>
            <w:shd w:val="clear" w:color="auto" w:fill="auto"/>
            <w:noWrap/>
            <w:vAlign w:val="bottom"/>
            <w:hideMark/>
          </w:tcPr>
          <w:p w:rsidR="0034242A" w:rsidRDefault="0034242A">
            <w:pPr>
              <w:jc w:val="right"/>
              <w:rPr>
                <w:rFonts w:ascii="Berlin Sans FB Demi" w:hAnsi="Berlin Sans FB Demi" w:cs="Arial"/>
                <w:b/>
                <w:bCs/>
                <w:sz w:val="22"/>
                <w:szCs w:val="22"/>
              </w:rPr>
            </w:pPr>
            <w:r>
              <w:rPr>
                <w:rFonts w:ascii="Berlin Sans FB Demi" w:hAnsi="Berlin Sans FB Demi" w:cs="Arial"/>
                <w:b/>
                <w:bCs/>
                <w:sz w:val="22"/>
                <w:szCs w:val="22"/>
              </w:rPr>
              <w:t>2008-09</w:t>
            </w:r>
          </w:p>
        </w:tc>
      </w:tr>
      <w:tr w:rsidR="0034242A" w:rsidTr="0034242A">
        <w:trPr>
          <w:trHeight w:val="330"/>
        </w:trPr>
        <w:tc>
          <w:tcPr>
            <w:tcW w:w="816" w:type="dxa"/>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Sales </w:t>
            </w:r>
          </w:p>
        </w:tc>
        <w:tc>
          <w:tcPr>
            <w:tcW w:w="2438"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1,280,000 </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1,290,000 </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1,300,000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1,310,000 </w:t>
            </w: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1,320,000 </w:t>
            </w:r>
          </w:p>
        </w:tc>
      </w:tr>
      <w:tr w:rsidR="0034242A" w:rsidTr="0034242A">
        <w:trPr>
          <w:trHeight w:val="330"/>
        </w:trPr>
        <w:tc>
          <w:tcPr>
            <w:tcW w:w="816" w:type="dxa"/>
            <w:tcBorders>
              <w:top w:val="nil"/>
              <w:left w:val="single" w:sz="4" w:space="0" w:color="auto"/>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2438"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96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72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38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5214" w:type="dxa"/>
            <w:gridSpan w:val="3"/>
            <w:tcBorders>
              <w:top w:val="single" w:sz="4" w:space="0" w:color="auto"/>
              <w:left w:val="single" w:sz="4" w:space="0" w:color="auto"/>
              <w:bottom w:val="nil"/>
              <w:right w:val="nil"/>
            </w:tcBorders>
            <w:shd w:val="clear" w:color="000000" w:fill="F2DDDC"/>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Operating Cost information</w:t>
            </w:r>
          </w:p>
        </w:tc>
        <w:tc>
          <w:tcPr>
            <w:tcW w:w="1720" w:type="dxa"/>
            <w:tcBorders>
              <w:top w:val="single" w:sz="4" w:space="0" w:color="auto"/>
              <w:left w:val="nil"/>
              <w:bottom w:val="nil"/>
              <w:right w:val="nil"/>
            </w:tcBorders>
            <w:shd w:val="clear" w:color="000000" w:fill="F2DDDC"/>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380" w:type="dxa"/>
            <w:tcBorders>
              <w:top w:val="single" w:sz="4" w:space="0" w:color="auto"/>
              <w:left w:val="nil"/>
              <w:bottom w:val="nil"/>
              <w:right w:val="nil"/>
            </w:tcBorders>
            <w:shd w:val="clear" w:color="000000" w:fill="F2DDDC"/>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840" w:type="dxa"/>
            <w:tcBorders>
              <w:top w:val="single" w:sz="4" w:space="0" w:color="auto"/>
              <w:left w:val="nil"/>
              <w:bottom w:val="nil"/>
              <w:right w:val="single" w:sz="4" w:space="0" w:color="auto"/>
            </w:tcBorders>
            <w:shd w:val="clear" w:color="000000" w:fill="F2DDDC"/>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Product costs</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20% sales</w:t>
            </w:r>
          </w:p>
        </w:tc>
        <w:tc>
          <w:tcPr>
            <w:tcW w:w="3220" w:type="dxa"/>
            <w:gridSpan w:val="2"/>
            <w:tcBorders>
              <w:top w:val="nil"/>
              <w:left w:val="nil"/>
              <w:bottom w:val="nil"/>
              <w:right w:val="single" w:sz="4" w:space="0" w:color="000000"/>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Includes material and labor</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Payment to Seahawks</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40% sales</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5214" w:type="dxa"/>
            <w:gridSpan w:val="3"/>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Variable Selling, General and Admin</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12% sales</w:t>
            </w:r>
          </w:p>
        </w:tc>
        <w:tc>
          <w:tcPr>
            <w:tcW w:w="3220" w:type="dxa"/>
            <w:gridSpan w:val="2"/>
            <w:tcBorders>
              <w:top w:val="nil"/>
              <w:left w:val="nil"/>
              <w:bottom w:val="nil"/>
              <w:right w:val="single" w:sz="4" w:space="0" w:color="000000"/>
            </w:tcBorders>
            <w:shd w:val="clear" w:color="auto" w:fill="auto"/>
            <w:noWrap/>
            <w:vAlign w:val="bottom"/>
            <w:hideMark/>
          </w:tcPr>
          <w:p w:rsidR="0034242A" w:rsidRDefault="0034242A">
            <w:pPr>
              <w:rPr>
                <w:rFonts w:ascii="Century Gothic" w:hAnsi="Century Gothic" w:cs="Arial"/>
                <w:i/>
                <w:iCs/>
                <w:sz w:val="20"/>
                <w:szCs w:val="20"/>
              </w:rPr>
            </w:pPr>
            <w:r>
              <w:rPr>
                <w:rFonts w:ascii="Century Gothic" w:hAnsi="Century Gothic" w:cs="Arial"/>
                <w:i/>
                <w:iCs/>
                <w:sz w:val="20"/>
                <w:szCs w:val="20"/>
              </w:rPr>
              <w:t>Does not include depreciation.</w:t>
            </w:r>
          </w:p>
        </w:tc>
      </w:tr>
      <w:tr w:rsidR="0034242A" w:rsidTr="0034242A">
        <w:trPr>
          <w:trHeight w:val="330"/>
        </w:trPr>
        <w:tc>
          <w:tcPr>
            <w:tcW w:w="5214" w:type="dxa"/>
            <w:gridSpan w:val="3"/>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Fixed Selling, General and Admin</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Supervisor, Overhead</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hideMark/>
          </w:tcPr>
          <w:p w:rsidR="0034242A" w:rsidRDefault="0034242A">
            <w:pPr>
              <w:rPr>
                <w:rFonts w:ascii="Century Gothic" w:hAnsi="Century Gothic" w:cs="Arial"/>
                <w:sz w:val="22"/>
                <w:szCs w:val="22"/>
              </w:rPr>
            </w:pPr>
            <w:r>
              <w:rPr>
                <w:rFonts w:ascii="Century Gothic" w:hAnsi="Century Gothic" w:cs="Arial"/>
                <w:sz w:val="22"/>
                <w:szCs w:val="22"/>
              </w:rPr>
              <w:t xml:space="preserve">$170,000 </w:t>
            </w:r>
          </w:p>
        </w:tc>
        <w:tc>
          <w:tcPr>
            <w:tcW w:w="3220" w:type="dxa"/>
            <w:gridSpan w:val="2"/>
            <w:tcBorders>
              <w:top w:val="nil"/>
              <w:left w:val="nil"/>
              <w:bottom w:val="single" w:sz="4" w:space="0" w:color="000000"/>
              <w:right w:val="single" w:sz="4" w:space="0" w:color="000000"/>
            </w:tcBorders>
            <w:shd w:val="clear" w:color="auto" w:fill="auto"/>
            <w:hideMark/>
          </w:tcPr>
          <w:p w:rsidR="0034242A" w:rsidRPr="00954546" w:rsidRDefault="0034242A">
            <w:pPr>
              <w:rPr>
                <w:rFonts w:ascii="Century Gothic" w:hAnsi="Century Gothic" w:cs="Arial"/>
                <w:i/>
                <w:iCs/>
                <w:sz w:val="16"/>
                <w:szCs w:val="20"/>
              </w:rPr>
            </w:pPr>
            <w:r w:rsidRPr="00954546">
              <w:rPr>
                <w:rFonts w:ascii="Century Gothic" w:hAnsi="Century Gothic" w:cs="Arial"/>
                <w:i/>
                <w:iCs/>
                <w:sz w:val="16"/>
                <w:szCs w:val="20"/>
              </w:rPr>
              <w:t>Assume 1% annual growth. Does not include depreciation</w:t>
            </w:r>
          </w:p>
        </w:tc>
      </w:tr>
      <w:tr w:rsidR="0034242A" w:rsidTr="0034242A">
        <w:trPr>
          <w:trHeight w:val="330"/>
        </w:trPr>
        <w:tc>
          <w:tcPr>
            <w:tcW w:w="5214" w:type="dxa"/>
            <w:gridSpan w:val="3"/>
            <w:tcBorders>
              <w:top w:val="single" w:sz="4" w:space="0" w:color="auto"/>
              <w:left w:val="single" w:sz="4" w:space="0" w:color="auto"/>
              <w:bottom w:val="nil"/>
              <w:right w:val="nil"/>
            </w:tcBorders>
            <w:shd w:val="clear" w:color="000000" w:fill="DBEEF3"/>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One Time Investment needed</w:t>
            </w:r>
          </w:p>
        </w:tc>
        <w:tc>
          <w:tcPr>
            <w:tcW w:w="1720" w:type="dxa"/>
            <w:tcBorders>
              <w:top w:val="single" w:sz="4" w:space="0" w:color="auto"/>
              <w:left w:val="nil"/>
              <w:bottom w:val="nil"/>
              <w:right w:val="nil"/>
            </w:tcBorders>
            <w:shd w:val="clear" w:color="000000" w:fill="DBEEF3"/>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380" w:type="dxa"/>
            <w:tcBorders>
              <w:top w:val="single" w:sz="4" w:space="0" w:color="auto"/>
              <w:left w:val="nil"/>
              <w:bottom w:val="nil"/>
              <w:right w:val="nil"/>
            </w:tcBorders>
            <w:shd w:val="clear" w:color="000000" w:fill="DBEEF3"/>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840" w:type="dxa"/>
            <w:tcBorders>
              <w:top w:val="single" w:sz="4" w:space="0" w:color="auto"/>
              <w:left w:val="nil"/>
              <w:bottom w:val="nil"/>
              <w:right w:val="single" w:sz="4" w:space="0" w:color="auto"/>
            </w:tcBorders>
            <w:shd w:val="clear" w:color="000000" w:fill="DBEEF3"/>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Menu, decorations</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rsidP="00594FC7">
            <w:pPr>
              <w:rPr>
                <w:rFonts w:ascii="Century Gothic" w:hAnsi="Century Gothic" w:cs="Arial"/>
                <w:sz w:val="22"/>
                <w:szCs w:val="22"/>
              </w:rPr>
            </w:pPr>
            <w:r>
              <w:rPr>
                <w:rFonts w:ascii="Century Gothic" w:hAnsi="Century Gothic" w:cs="Arial"/>
                <w:sz w:val="22"/>
                <w:szCs w:val="22"/>
              </w:rPr>
              <w:t xml:space="preserve">                   15,000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b/>
                <w:bCs/>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r>
      <w:tr w:rsidR="0034242A" w:rsidTr="0034242A">
        <w:trPr>
          <w:trHeight w:val="297"/>
        </w:trPr>
        <w:tc>
          <w:tcPr>
            <w:tcW w:w="5214" w:type="dxa"/>
            <w:gridSpan w:val="3"/>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Ovens, fryers, refrigeration, grill</w:t>
            </w:r>
          </w:p>
        </w:tc>
        <w:tc>
          <w:tcPr>
            <w:tcW w:w="1720" w:type="dxa"/>
            <w:tcBorders>
              <w:top w:val="nil"/>
              <w:left w:val="nil"/>
              <w:bottom w:val="nil"/>
              <w:right w:val="nil"/>
            </w:tcBorders>
            <w:shd w:val="clear" w:color="auto" w:fill="auto"/>
            <w:noWrap/>
            <w:vAlign w:val="bottom"/>
            <w:hideMark/>
          </w:tcPr>
          <w:p w:rsidR="0034242A" w:rsidRDefault="0034242A" w:rsidP="0034242A">
            <w:pPr>
              <w:rPr>
                <w:rFonts w:ascii="Century Gothic" w:hAnsi="Century Gothic" w:cs="Arial"/>
                <w:sz w:val="22"/>
                <w:szCs w:val="22"/>
              </w:rPr>
            </w:pPr>
            <w:r>
              <w:rPr>
                <w:rFonts w:ascii="Century Gothic" w:hAnsi="Century Gothic" w:cs="Arial"/>
                <w:sz w:val="22"/>
                <w:szCs w:val="22"/>
              </w:rPr>
              <w:t xml:space="preserve">55,000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b/>
                <w:bCs/>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Stainless tables &amp; shelves</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rsidP="0034242A">
            <w:pPr>
              <w:rPr>
                <w:rFonts w:ascii="Century Gothic" w:hAnsi="Century Gothic" w:cs="Arial"/>
                <w:sz w:val="22"/>
                <w:szCs w:val="22"/>
              </w:rPr>
            </w:pPr>
            <w:r>
              <w:rPr>
                <w:rFonts w:ascii="Century Gothic" w:hAnsi="Century Gothic" w:cs="Arial"/>
                <w:sz w:val="22"/>
                <w:szCs w:val="22"/>
              </w:rPr>
              <w:t xml:space="preserve">  4,000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b/>
                <w:bCs/>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Exhaust Hood</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rsidP="0034242A">
            <w:pPr>
              <w:rPr>
                <w:rFonts w:ascii="Century Gothic" w:hAnsi="Century Gothic" w:cs="Arial"/>
                <w:sz w:val="22"/>
                <w:szCs w:val="22"/>
              </w:rPr>
            </w:pPr>
            <w:r>
              <w:rPr>
                <w:rFonts w:ascii="Century Gothic" w:hAnsi="Century Gothic" w:cs="Arial"/>
                <w:sz w:val="22"/>
                <w:szCs w:val="22"/>
              </w:rPr>
              <w:t xml:space="preserve"> 30,000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Training program</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rsidP="0034242A">
            <w:pPr>
              <w:rPr>
                <w:rFonts w:ascii="Century Gothic" w:hAnsi="Century Gothic" w:cs="Arial"/>
                <w:sz w:val="22"/>
                <w:szCs w:val="22"/>
              </w:rPr>
            </w:pPr>
            <w:r>
              <w:rPr>
                <w:rFonts w:ascii="Century Gothic" w:hAnsi="Century Gothic" w:cs="Arial"/>
                <w:sz w:val="22"/>
                <w:szCs w:val="22"/>
              </w:rPr>
              <w:t xml:space="preserve">  </w:t>
            </w:r>
            <w:r>
              <w:rPr>
                <w:rFonts w:ascii="Century Gothic" w:hAnsi="Century Gothic" w:cs="Arial"/>
                <w:sz w:val="22"/>
                <w:szCs w:val="22"/>
              </w:rPr>
              <w:t xml:space="preserve"> </w:t>
            </w:r>
            <w:r>
              <w:rPr>
                <w:rFonts w:ascii="Century Gothic" w:hAnsi="Century Gothic" w:cs="Arial"/>
                <w:sz w:val="22"/>
                <w:szCs w:val="22"/>
              </w:rPr>
              <w:t xml:space="preserve">2,000 </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Concession Fee - 1 time</w:t>
            </w:r>
          </w:p>
        </w:tc>
        <w:tc>
          <w:tcPr>
            <w:tcW w:w="1960" w:type="dxa"/>
            <w:tcBorders>
              <w:top w:val="nil"/>
              <w:left w:val="nil"/>
              <w:bottom w:val="nil"/>
              <w:right w:val="nil"/>
            </w:tcBorders>
            <w:shd w:val="clear" w:color="auto" w:fill="auto"/>
            <w:noWrap/>
            <w:vAlign w:val="bottom"/>
            <w:hideMark/>
          </w:tcPr>
          <w:p w:rsidR="0034242A" w:rsidRDefault="0034242A">
            <w:pPr>
              <w:jc w:val="right"/>
              <w:rPr>
                <w:rFonts w:ascii="Century Gothic" w:hAnsi="Century Gothic" w:cs="Arial"/>
                <w:sz w:val="22"/>
                <w:szCs w:val="22"/>
              </w:rPr>
            </w:pPr>
            <w:r>
              <w:rPr>
                <w:rFonts w:ascii="Century Gothic" w:hAnsi="Century Gothic" w:cs="Arial"/>
                <w:sz w:val="22"/>
                <w:szCs w:val="22"/>
              </w:rPr>
              <w:t xml:space="preserve"> calculate </w:t>
            </w:r>
          </w:p>
        </w:tc>
        <w:tc>
          <w:tcPr>
            <w:tcW w:w="4940" w:type="dxa"/>
            <w:gridSpan w:val="3"/>
            <w:tcBorders>
              <w:top w:val="nil"/>
              <w:left w:val="nil"/>
              <w:bottom w:val="nil"/>
              <w:right w:val="single" w:sz="4" w:space="0" w:color="000000"/>
            </w:tcBorders>
            <w:shd w:val="clear" w:color="auto" w:fill="auto"/>
            <w:hideMark/>
          </w:tcPr>
          <w:p w:rsidR="0034242A" w:rsidRDefault="0034242A">
            <w:pPr>
              <w:rPr>
                <w:rFonts w:ascii="Century Gothic" w:hAnsi="Century Gothic" w:cs="Arial"/>
                <w:i/>
                <w:iCs/>
                <w:sz w:val="16"/>
                <w:szCs w:val="16"/>
              </w:rPr>
            </w:pPr>
            <w:r>
              <w:rPr>
                <w:rFonts w:ascii="Century Gothic" w:hAnsi="Century Gothic" w:cs="Arial"/>
                <w:i/>
                <w:iCs/>
                <w:sz w:val="16"/>
                <w:szCs w:val="16"/>
              </w:rPr>
              <w:t xml:space="preserve">Payment from </w:t>
            </w:r>
            <w:proofErr w:type="spellStart"/>
            <w:r>
              <w:rPr>
                <w:rFonts w:ascii="Century Gothic" w:hAnsi="Century Gothic" w:cs="Arial"/>
                <w:i/>
                <w:iCs/>
                <w:sz w:val="16"/>
                <w:szCs w:val="16"/>
              </w:rPr>
              <w:t>Ivar's</w:t>
            </w:r>
            <w:proofErr w:type="spellEnd"/>
            <w:r>
              <w:rPr>
                <w:rFonts w:ascii="Century Gothic" w:hAnsi="Century Gothic" w:cs="Arial"/>
                <w:i/>
                <w:iCs/>
                <w:sz w:val="16"/>
                <w:szCs w:val="16"/>
              </w:rPr>
              <w:t xml:space="preserve"> to S</w:t>
            </w:r>
            <w:r w:rsidR="00AA0E4F">
              <w:rPr>
                <w:rFonts w:ascii="Century Gothic" w:hAnsi="Century Gothic" w:cs="Arial"/>
                <w:i/>
                <w:iCs/>
                <w:sz w:val="16"/>
                <w:szCs w:val="16"/>
              </w:rPr>
              <w:t>eahawks for concession. Assume 5</w:t>
            </w:r>
            <w:r>
              <w:rPr>
                <w:rFonts w:ascii="Century Gothic" w:hAnsi="Century Gothic" w:cs="Arial"/>
                <w:i/>
                <w:iCs/>
                <w:sz w:val="16"/>
                <w:szCs w:val="16"/>
              </w:rPr>
              <w:t>0% of first year's sales (will vary), straight line - 5 years.</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Depreciable Costs</w:t>
            </w:r>
          </w:p>
        </w:tc>
        <w:tc>
          <w:tcPr>
            <w:tcW w:w="1960" w:type="dxa"/>
            <w:tcBorders>
              <w:top w:val="nil"/>
              <w:left w:val="nil"/>
              <w:bottom w:val="nil"/>
              <w:right w:val="nil"/>
            </w:tcBorders>
            <w:shd w:val="clear" w:color="auto" w:fill="auto"/>
            <w:noWrap/>
            <w:vAlign w:val="bottom"/>
            <w:hideMark/>
          </w:tcPr>
          <w:p w:rsidR="0034242A" w:rsidRDefault="0034242A">
            <w:pPr>
              <w:jc w:val="right"/>
              <w:rPr>
                <w:rFonts w:ascii="Century Gothic" w:hAnsi="Century Gothic" w:cs="Arial"/>
                <w:sz w:val="22"/>
                <w:szCs w:val="22"/>
              </w:rPr>
            </w:pPr>
            <w:r>
              <w:rPr>
                <w:rFonts w:ascii="Century Gothic" w:hAnsi="Century Gothic" w:cs="Arial"/>
                <w:sz w:val="22"/>
                <w:szCs w:val="22"/>
              </w:rPr>
              <w:t xml:space="preserve"> calculate </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5214" w:type="dxa"/>
            <w:gridSpan w:val="3"/>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i/>
                <w:iCs/>
                <w:sz w:val="22"/>
                <w:szCs w:val="22"/>
              </w:rPr>
            </w:pPr>
            <w:r>
              <w:rPr>
                <w:rFonts w:ascii="Century Gothic" w:hAnsi="Century Gothic" w:cs="Arial"/>
                <w:i/>
                <w:iCs/>
                <w:sz w:val="22"/>
                <w:szCs w:val="22"/>
              </w:rPr>
              <w:t>Method:  Straight Line, 5 year life.</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7D50F1">
        <w:trPr>
          <w:trHeight w:val="330"/>
        </w:trPr>
        <w:tc>
          <w:tcPr>
            <w:tcW w:w="816" w:type="dxa"/>
            <w:tcBorders>
              <w:top w:val="nil"/>
              <w:left w:val="single" w:sz="4" w:space="0" w:color="auto"/>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2438"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96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72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38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7D50F1">
        <w:trPr>
          <w:trHeight w:val="330"/>
        </w:trPr>
        <w:tc>
          <w:tcPr>
            <w:tcW w:w="3254" w:type="dxa"/>
            <w:gridSpan w:val="2"/>
            <w:tcBorders>
              <w:top w:val="single" w:sz="4" w:space="0" w:color="auto"/>
              <w:left w:val="single" w:sz="4" w:space="0" w:color="auto"/>
              <w:bottom w:val="nil"/>
              <w:right w:val="nil"/>
            </w:tcBorders>
            <w:shd w:val="clear" w:color="000000" w:fill="FDE9D9"/>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Other Information</w:t>
            </w:r>
          </w:p>
        </w:tc>
        <w:tc>
          <w:tcPr>
            <w:tcW w:w="1960" w:type="dxa"/>
            <w:tcBorders>
              <w:top w:val="single" w:sz="4" w:space="0" w:color="auto"/>
              <w:left w:val="nil"/>
              <w:bottom w:val="nil"/>
              <w:right w:val="nil"/>
            </w:tcBorders>
            <w:shd w:val="clear" w:color="000000" w:fill="FDE9D9"/>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720" w:type="dxa"/>
            <w:tcBorders>
              <w:top w:val="single" w:sz="4" w:space="0" w:color="auto"/>
              <w:left w:val="nil"/>
              <w:bottom w:val="nil"/>
              <w:right w:val="nil"/>
            </w:tcBorders>
            <w:shd w:val="clear" w:color="000000" w:fill="FDE9D9"/>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380" w:type="dxa"/>
            <w:tcBorders>
              <w:top w:val="single" w:sz="4" w:space="0" w:color="auto"/>
              <w:left w:val="nil"/>
              <w:bottom w:val="nil"/>
              <w:right w:val="nil"/>
            </w:tcBorders>
            <w:shd w:val="clear" w:color="000000" w:fill="FDE9D9"/>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c>
          <w:tcPr>
            <w:tcW w:w="1840" w:type="dxa"/>
            <w:tcBorders>
              <w:top w:val="single" w:sz="4" w:space="0" w:color="auto"/>
              <w:left w:val="nil"/>
              <w:bottom w:val="nil"/>
              <w:right w:val="single" w:sz="4" w:space="0" w:color="auto"/>
            </w:tcBorders>
            <w:shd w:val="clear" w:color="000000" w:fill="FDE9D9"/>
            <w:noWrap/>
            <w:vAlign w:val="bottom"/>
            <w:hideMark/>
          </w:tcPr>
          <w:p w:rsidR="0034242A" w:rsidRDefault="0034242A">
            <w:pPr>
              <w:rPr>
                <w:rFonts w:ascii="Century Gothic" w:hAnsi="Century Gothic" w:cs="Arial"/>
                <w:b/>
                <w:bCs/>
                <w:sz w:val="22"/>
                <w:szCs w:val="22"/>
              </w:rPr>
            </w:pPr>
            <w:r>
              <w:rPr>
                <w:rFonts w:ascii="Century Gothic" w:hAnsi="Century Gothic" w:cs="Arial"/>
                <w:b/>
                <w:bCs/>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Income Tax Rate</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pPr>
              <w:jc w:val="right"/>
              <w:rPr>
                <w:rFonts w:ascii="Century Gothic" w:hAnsi="Century Gothic" w:cs="Arial"/>
                <w:sz w:val="22"/>
                <w:szCs w:val="22"/>
              </w:rPr>
            </w:pPr>
            <w:r>
              <w:rPr>
                <w:rFonts w:ascii="Century Gothic" w:hAnsi="Century Gothic" w:cs="Arial"/>
                <w:sz w:val="22"/>
                <w:szCs w:val="22"/>
              </w:rPr>
              <w:t>30%</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34242A">
        <w:trPr>
          <w:trHeight w:val="330"/>
        </w:trPr>
        <w:tc>
          <w:tcPr>
            <w:tcW w:w="3254" w:type="dxa"/>
            <w:gridSpan w:val="2"/>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Hurdle Rate</w:t>
            </w:r>
          </w:p>
        </w:tc>
        <w:tc>
          <w:tcPr>
            <w:tcW w:w="196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720" w:type="dxa"/>
            <w:tcBorders>
              <w:top w:val="nil"/>
              <w:left w:val="nil"/>
              <w:bottom w:val="nil"/>
              <w:right w:val="nil"/>
            </w:tcBorders>
            <w:shd w:val="clear" w:color="auto" w:fill="auto"/>
            <w:noWrap/>
            <w:vAlign w:val="bottom"/>
            <w:hideMark/>
          </w:tcPr>
          <w:p w:rsidR="0034242A" w:rsidRDefault="0034242A">
            <w:pPr>
              <w:jc w:val="right"/>
              <w:rPr>
                <w:rFonts w:ascii="Century Gothic" w:hAnsi="Century Gothic" w:cs="Arial"/>
                <w:sz w:val="22"/>
                <w:szCs w:val="22"/>
              </w:rPr>
            </w:pPr>
            <w:r>
              <w:rPr>
                <w:rFonts w:ascii="Century Gothic" w:hAnsi="Century Gothic" w:cs="Arial"/>
                <w:sz w:val="22"/>
                <w:szCs w:val="22"/>
              </w:rPr>
              <w:t>6%</w:t>
            </w:r>
          </w:p>
        </w:tc>
        <w:tc>
          <w:tcPr>
            <w:tcW w:w="138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7D50F1">
        <w:trPr>
          <w:trHeight w:val="330"/>
        </w:trPr>
        <w:tc>
          <w:tcPr>
            <w:tcW w:w="5214" w:type="dxa"/>
            <w:gridSpan w:val="3"/>
            <w:tcBorders>
              <w:top w:val="nil"/>
              <w:left w:val="single" w:sz="4" w:space="0" w:color="auto"/>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Estimated major equipment repairs year 3</w:t>
            </w:r>
          </w:p>
        </w:tc>
        <w:tc>
          <w:tcPr>
            <w:tcW w:w="1720" w:type="dxa"/>
            <w:tcBorders>
              <w:top w:val="nil"/>
              <w:left w:val="nil"/>
              <w:bottom w:val="nil"/>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               50,000 </w:t>
            </w:r>
          </w:p>
        </w:tc>
        <w:tc>
          <w:tcPr>
            <w:tcW w:w="3220" w:type="dxa"/>
            <w:gridSpan w:val="2"/>
            <w:tcBorders>
              <w:top w:val="nil"/>
              <w:left w:val="nil"/>
              <w:bottom w:val="nil"/>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Straight line, 5 years</w:t>
            </w:r>
          </w:p>
        </w:tc>
      </w:tr>
      <w:tr w:rsidR="0034242A" w:rsidTr="007D50F1">
        <w:trPr>
          <w:trHeight w:val="330"/>
        </w:trPr>
        <w:tc>
          <w:tcPr>
            <w:tcW w:w="5214" w:type="dxa"/>
            <w:gridSpan w:val="3"/>
            <w:tcBorders>
              <w:top w:val="nil"/>
              <w:left w:val="single" w:sz="4" w:space="0" w:color="auto"/>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Salvage value of new equipment</w:t>
            </w:r>
          </w:p>
        </w:tc>
        <w:tc>
          <w:tcPr>
            <w:tcW w:w="172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xml:space="preserve">10,000 </w:t>
            </w:r>
          </w:p>
        </w:tc>
        <w:tc>
          <w:tcPr>
            <w:tcW w:w="1380" w:type="dxa"/>
            <w:tcBorders>
              <w:top w:val="nil"/>
              <w:left w:val="nil"/>
              <w:bottom w:val="single" w:sz="4" w:space="0" w:color="auto"/>
              <w:right w:val="nil"/>
            </w:tcBorders>
            <w:shd w:val="clear" w:color="auto" w:fill="auto"/>
            <w:noWrap/>
            <w:vAlign w:val="bottom"/>
            <w:hideMark/>
          </w:tcPr>
          <w:p w:rsidR="0034242A" w:rsidRDefault="0034242A">
            <w:pPr>
              <w:rPr>
                <w:rFonts w:ascii="Century Gothic" w:hAnsi="Century Gothic" w:cs="Arial"/>
                <w:sz w:val="22"/>
                <w:szCs w:val="22"/>
              </w:rPr>
            </w:pPr>
          </w:p>
        </w:tc>
        <w:tc>
          <w:tcPr>
            <w:tcW w:w="1840" w:type="dxa"/>
            <w:tcBorders>
              <w:top w:val="nil"/>
              <w:left w:val="nil"/>
              <w:bottom w:val="single" w:sz="4" w:space="0" w:color="auto"/>
              <w:right w:val="single" w:sz="4" w:space="0" w:color="auto"/>
            </w:tcBorders>
            <w:shd w:val="clear" w:color="auto" w:fill="auto"/>
            <w:noWrap/>
            <w:vAlign w:val="bottom"/>
            <w:hideMark/>
          </w:tcPr>
          <w:p w:rsidR="0034242A" w:rsidRDefault="0034242A">
            <w:pPr>
              <w:rPr>
                <w:rFonts w:ascii="Century Gothic" w:hAnsi="Century Gothic" w:cs="Arial"/>
                <w:sz w:val="22"/>
                <w:szCs w:val="22"/>
              </w:rPr>
            </w:pPr>
            <w:r>
              <w:rPr>
                <w:rFonts w:ascii="Century Gothic" w:hAnsi="Century Gothic" w:cs="Arial"/>
                <w:sz w:val="22"/>
                <w:szCs w:val="22"/>
              </w:rPr>
              <w:t> </w:t>
            </w:r>
          </w:p>
        </w:tc>
      </w:tr>
      <w:tr w:rsidR="0034242A" w:rsidTr="007D50F1">
        <w:trPr>
          <w:trHeight w:val="330"/>
        </w:trPr>
        <w:tc>
          <w:tcPr>
            <w:tcW w:w="10154" w:type="dxa"/>
            <w:gridSpan w:val="6"/>
            <w:tcBorders>
              <w:top w:val="single" w:sz="4" w:space="0" w:color="auto"/>
              <w:left w:val="nil"/>
              <w:bottom w:val="nil"/>
              <w:right w:val="nil"/>
            </w:tcBorders>
            <w:shd w:val="clear" w:color="auto" w:fill="auto"/>
            <w:noWrap/>
            <w:vAlign w:val="bottom"/>
            <w:hideMark/>
          </w:tcPr>
          <w:p w:rsidR="0034242A" w:rsidRPr="0034242A" w:rsidRDefault="0034242A">
            <w:pPr>
              <w:rPr>
                <w:rFonts w:ascii="Century Gothic" w:hAnsi="Century Gothic" w:cs="Arial"/>
                <w:b/>
                <w:i/>
                <w:iCs/>
                <w:sz w:val="18"/>
                <w:szCs w:val="20"/>
              </w:rPr>
            </w:pPr>
            <w:r w:rsidRPr="0034242A">
              <w:rPr>
                <w:rFonts w:ascii="Century Gothic" w:hAnsi="Century Gothic" w:cs="Arial"/>
                <w:b/>
                <w:i/>
                <w:iCs/>
                <w:sz w:val="18"/>
                <w:szCs w:val="20"/>
              </w:rPr>
              <w:t xml:space="preserve">* Most numbers on this page were not provided by </w:t>
            </w:r>
            <w:proofErr w:type="spellStart"/>
            <w:r w:rsidRPr="0034242A">
              <w:rPr>
                <w:rFonts w:ascii="Century Gothic" w:hAnsi="Century Gothic" w:cs="Arial"/>
                <w:b/>
                <w:i/>
                <w:iCs/>
                <w:sz w:val="18"/>
                <w:szCs w:val="20"/>
              </w:rPr>
              <w:t>Ivar's</w:t>
            </w:r>
            <w:proofErr w:type="spellEnd"/>
            <w:r w:rsidRPr="0034242A">
              <w:rPr>
                <w:rFonts w:ascii="Century Gothic" w:hAnsi="Century Gothic" w:cs="Arial"/>
                <w:b/>
                <w:i/>
                <w:iCs/>
                <w:sz w:val="18"/>
                <w:szCs w:val="20"/>
              </w:rPr>
              <w:t>, but were estimated by Judith Paquette</w:t>
            </w:r>
          </w:p>
        </w:tc>
      </w:tr>
    </w:tbl>
    <w:p w:rsidR="00A15CD8" w:rsidRPr="00A27EF5" w:rsidRDefault="00A15CD8">
      <w:pPr>
        <w:rPr>
          <w:rFonts w:ascii="Arial" w:hAnsi="Arial" w:cs="Arial"/>
          <w:bCs/>
          <w:sz w:val="20"/>
          <w:szCs w:val="20"/>
          <w:shd w:val="clear" w:color="auto" w:fill="FFFFFF"/>
        </w:rPr>
      </w:pPr>
    </w:p>
    <w:sectPr w:rsidR="00A15CD8" w:rsidRPr="00A27EF5" w:rsidSect="0034242A">
      <w:headerReference w:type="default" r:id="rId17"/>
      <w:footerReference w:type="default" r:id="rId18"/>
      <w:pgSz w:w="12240" w:h="15840"/>
      <w:pgMar w:top="1170" w:right="1260" w:bottom="126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B2" w:rsidRDefault="00787FB2" w:rsidP="00CC5354">
      <w:r>
        <w:separator/>
      </w:r>
    </w:p>
  </w:endnote>
  <w:endnote w:type="continuationSeparator" w:id="0">
    <w:p w:rsidR="00787FB2" w:rsidRDefault="00787FB2" w:rsidP="00CC5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54" w:rsidRPr="001471DF" w:rsidRDefault="009C306B">
    <w:pPr>
      <w:pStyle w:val="Footer"/>
      <w:rPr>
        <w:sz w:val="14"/>
        <w:szCs w:val="14"/>
      </w:rPr>
    </w:pPr>
    <w:fldSimple w:instr=" FILENAME  \* Lower  \* MERGEFORMAT ">
      <w:r w:rsidR="0008511B" w:rsidRPr="0008511B">
        <w:rPr>
          <w:noProof/>
          <w:sz w:val="14"/>
          <w:szCs w:val="14"/>
        </w:rPr>
        <w:t>ivar's case 1.4</w:t>
      </w:r>
    </w:fldSimple>
    <w:r w:rsidR="001471DF" w:rsidRPr="001471DF">
      <w:rPr>
        <w:sz w:val="14"/>
        <w:szCs w:val="14"/>
      </w:rPr>
      <w:ptab w:relativeTo="margin" w:alignment="center" w:leader="none"/>
    </w:r>
    <w:proofErr w:type="spellStart"/>
    <w:r w:rsidR="001471DF" w:rsidRPr="001471DF">
      <w:rPr>
        <w:sz w:val="14"/>
        <w:szCs w:val="14"/>
      </w:rPr>
      <w:t>donegan</w:t>
    </w:r>
    <w:proofErr w:type="spellEnd"/>
    <w:r w:rsidR="001471DF" w:rsidRPr="001471DF">
      <w:rPr>
        <w:sz w:val="14"/>
        <w:szCs w:val="14"/>
      </w:rPr>
      <w:t>/paquette</w:t>
    </w:r>
    <w:r w:rsidR="001471DF" w:rsidRPr="001471DF">
      <w:rPr>
        <w:sz w:val="14"/>
        <w:szCs w:val="14"/>
      </w:rPr>
      <w:ptab w:relativeTo="margin" w:alignment="right" w:leader="none"/>
    </w:r>
    <w:r w:rsidR="00222F4F">
      <w:rPr>
        <w:sz w:val="14"/>
        <w:szCs w:val="14"/>
      </w:rPr>
      <w:t xml:space="preserve">5/21/2013 6:26 PM </w:t>
    </w:r>
    <w:r w:rsidR="001471DF">
      <w:rPr>
        <w:sz w:val="14"/>
        <w:szCs w:val="14"/>
      </w:rPr>
      <w:t xml:space="preserve">page </w:t>
    </w:r>
    <w:r w:rsidRPr="001471DF">
      <w:rPr>
        <w:sz w:val="14"/>
        <w:szCs w:val="14"/>
      </w:rPr>
      <w:fldChar w:fldCharType="begin"/>
    </w:r>
    <w:r w:rsidR="001471DF" w:rsidRPr="001471DF">
      <w:rPr>
        <w:sz w:val="14"/>
        <w:szCs w:val="14"/>
      </w:rPr>
      <w:instrText xml:space="preserve"> PAGE   \* MERGEFORMAT </w:instrText>
    </w:r>
    <w:r w:rsidRPr="001471DF">
      <w:rPr>
        <w:sz w:val="14"/>
        <w:szCs w:val="14"/>
      </w:rPr>
      <w:fldChar w:fldCharType="separate"/>
    </w:r>
    <w:r w:rsidR="0008511B">
      <w:rPr>
        <w:noProof/>
        <w:sz w:val="14"/>
        <w:szCs w:val="14"/>
      </w:rPr>
      <w:t>7</w:t>
    </w:r>
    <w:r w:rsidRPr="001471DF">
      <w:rPr>
        <w:noProof/>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B2" w:rsidRDefault="00787FB2" w:rsidP="00CC5354">
      <w:r>
        <w:separator/>
      </w:r>
    </w:p>
  </w:footnote>
  <w:footnote w:type="continuationSeparator" w:id="0">
    <w:p w:rsidR="00787FB2" w:rsidRDefault="00787FB2" w:rsidP="00CC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30" w:rsidRPr="00A72E30" w:rsidRDefault="00A836F6">
    <w:pPr>
      <w:pStyle w:val="Header"/>
      <w:rPr>
        <w:rFonts w:ascii="Trebuchet MS" w:hAnsi="Trebuchet MS"/>
        <w:b/>
        <w:i/>
        <w:color w:val="31849B" w:themeColor="accent5" w:themeShade="BF"/>
      </w:rPr>
    </w:pPr>
    <w:r>
      <w:rPr>
        <w:rFonts w:ascii="Trebuchet MS" w:hAnsi="Trebuchet MS"/>
        <w:b/>
        <w:i/>
        <w:color w:val="31849B" w:themeColor="accent5" w:themeShade="BF"/>
      </w:rPr>
      <w:t xml:space="preserve">PRELIMINARY </w:t>
    </w:r>
    <w:r w:rsidR="00A72E30" w:rsidRPr="00A72E30">
      <w:rPr>
        <w:rFonts w:ascii="Trebuchet MS" w:hAnsi="Trebuchet MS"/>
        <w:b/>
        <w:i/>
        <w:color w:val="31849B" w:themeColor="accent5" w:themeShade="BF"/>
      </w:rPr>
      <w:t xml:space="preserve">DRAFT  </w:t>
    </w:r>
    <w:r w:rsidR="00A72E30" w:rsidRPr="00A72E30">
      <w:rPr>
        <w:rFonts w:ascii="Trebuchet MS" w:hAnsi="Trebuchet MS"/>
        <w:b/>
        <w:i/>
        <w:color w:val="31849B" w:themeColor="accent5" w:themeShade="BF"/>
      </w:rPr>
      <w:tab/>
    </w:r>
    <w:r>
      <w:rPr>
        <w:rFonts w:ascii="Trebuchet MS" w:hAnsi="Trebuchet MS"/>
        <w:b/>
        <w:i/>
        <w:color w:val="31849B" w:themeColor="accent5" w:themeShade="BF"/>
      </w:rPr>
      <w:t xml:space="preserve">PRELIMINARY </w:t>
    </w:r>
    <w:r w:rsidRPr="00A72E30">
      <w:rPr>
        <w:rFonts w:ascii="Trebuchet MS" w:hAnsi="Trebuchet MS"/>
        <w:b/>
        <w:i/>
        <w:color w:val="31849B" w:themeColor="accent5" w:themeShade="BF"/>
      </w:rPr>
      <w:t xml:space="preserve">DRAFT  </w:t>
    </w:r>
    <w:r w:rsidR="00A72E30" w:rsidRPr="00A72E30">
      <w:rPr>
        <w:rFonts w:ascii="Trebuchet MS" w:hAnsi="Trebuchet MS"/>
        <w:b/>
        <w:i/>
        <w:color w:val="31849B" w:themeColor="accent5" w:themeShade="BF"/>
      </w:rPr>
      <w:tab/>
    </w:r>
    <w:r>
      <w:rPr>
        <w:rFonts w:ascii="Trebuchet MS" w:hAnsi="Trebuchet MS"/>
        <w:b/>
        <w:i/>
        <w:color w:val="31849B" w:themeColor="accent5" w:themeShade="BF"/>
      </w:rPr>
      <w:t xml:space="preserve">PRELIMINARY </w:t>
    </w:r>
    <w:r w:rsidRPr="00A72E30">
      <w:rPr>
        <w:rFonts w:ascii="Trebuchet MS" w:hAnsi="Trebuchet MS"/>
        <w:b/>
        <w:i/>
        <w:color w:val="31849B" w:themeColor="accent5" w:themeShade="BF"/>
      </w:rPr>
      <w:t xml:space="preserve">DRAFT  </w:t>
    </w:r>
  </w:p>
  <w:p w:rsidR="00A72E30" w:rsidRDefault="00A72E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0CD"/>
    <w:multiLevelType w:val="hybridMultilevel"/>
    <w:tmpl w:val="EEDA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71DF"/>
    <w:multiLevelType w:val="hybridMultilevel"/>
    <w:tmpl w:val="864C9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C3807"/>
    <w:multiLevelType w:val="hybridMultilevel"/>
    <w:tmpl w:val="6CE27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616A7A"/>
    <w:multiLevelType w:val="hybridMultilevel"/>
    <w:tmpl w:val="286860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345407"/>
    <w:multiLevelType w:val="hybridMultilevel"/>
    <w:tmpl w:val="B0BA5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175516"/>
    <w:multiLevelType w:val="hybridMultilevel"/>
    <w:tmpl w:val="F87C6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51775D"/>
    <w:multiLevelType w:val="hybridMultilevel"/>
    <w:tmpl w:val="1060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C282C"/>
    <w:multiLevelType w:val="hybridMultilevel"/>
    <w:tmpl w:val="000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5051E"/>
    <w:multiLevelType w:val="multilevel"/>
    <w:tmpl w:val="176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8379D"/>
    <w:multiLevelType w:val="hybridMultilevel"/>
    <w:tmpl w:val="835A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C007A"/>
    <w:multiLevelType w:val="hybridMultilevel"/>
    <w:tmpl w:val="C80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730E9"/>
    <w:multiLevelType w:val="hybridMultilevel"/>
    <w:tmpl w:val="1652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475B0"/>
    <w:multiLevelType w:val="hybridMultilevel"/>
    <w:tmpl w:val="5BECF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CB06B1D"/>
    <w:multiLevelType w:val="hybridMultilevel"/>
    <w:tmpl w:val="0ACCA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D46900"/>
    <w:multiLevelType w:val="hybridMultilevel"/>
    <w:tmpl w:val="C7021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8F3341"/>
    <w:multiLevelType w:val="hybridMultilevel"/>
    <w:tmpl w:val="01624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A0311D3"/>
    <w:multiLevelType w:val="hybridMultilevel"/>
    <w:tmpl w:val="FD567F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3"/>
  </w:num>
  <w:num w:numId="4">
    <w:abstractNumId w:val="12"/>
  </w:num>
  <w:num w:numId="5">
    <w:abstractNumId w:val="9"/>
  </w:num>
  <w:num w:numId="6">
    <w:abstractNumId w:val="1"/>
  </w:num>
  <w:num w:numId="7">
    <w:abstractNumId w:val="7"/>
  </w:num>
  <w:num w:numId="8">
    <w:abstractNumId w:val="10"/>
  </w:num>
  <w:num w:numId="9">
    <w:abstractNumId w:val="11"/>
  </w:num>
  <w:num w:numId="10">
    <w:abstractNumId w:val="0"/>
  </w:num>
  <w:num w:numId="11">
    <w:abstractNumId w:val="14"/>
  </w:num>
  <w:num w:numId="12">
    <w:abstractNumId w:val="6"/>
  </w:num>
  <w:num w:numId="13">
    <w:abstractNumId w:val="4"/>
  </w:num>
  <w:num w:numId="14">
    <w:abstractNumId w:val="2"/>
  </w:num>
  <w:num w:numId="15">
    <w:abstractNumId w:val="16"/>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rsids>
    <w:rsidRoot w:val="00124291"/>
    <w:rsid w:val="00001299"/>
    <w:rsid w:val="00010704"/>
    <w:rsid w:val="0002587F"/>
    <w:rsid w:val="0007569F"/>
    <w:rsid w:val="00080B83"/>
    <w:rsid w:val="0008511B"/>
    <w:rsid w:val="00124291"/>
    <w:rsid w:val="001471DF"/>
    <w:rsid w:val="001622C9"/>
    <w:rsid w:val="00170011"/>
    <w:rsid w:val="00193469"/>
    <w:rsid w:val="001C3E43"/>
    <w:rsid w:val="001E66B8"/>
    <w:rsid w:val="00222F4F"/>
    <w:rsid w:val="00256FC8"/>
    <w:rsid w:val="00282A50"/>
    <w:rsid w:val="002843EF"/>
    <w:rsid w:val="002926A9"/>
    <w:rsid w:val="002F14E0"/>
    <w:rsid w:val="002F2E1D"/>
    <w:rsid w:val="00301819"/>
    <w:rsid w:val="0034242A"/>
    <w:rsid w:val="003578E5"/>
    <w:rsid w:val="00376076"/>
    <w:rsid w:val="003C4660"/>
    <w:rsid w:val="003D64A6"/>
    <w:rsid w:val="00416DB7"/>
    <w:rsid w:val="0042346B"/>
    <w:rsid w:val="00450574"/>
    <w:rsid w:val="004B0B6B"/>
    <w:rsid w:val="004C6919"/>
    <w:rsid w:val="004C7838"/>
    <w:rsid w:val="005006B1"/>
    <w:rsid w:val="00501F07"/>
    <w:rsid w:val="00543A86"/>
    <w:rsid w:val="0056733F"/>
    <w:rsid w:val="005707C0"/>
    <w:rsid w:val="00573554"/>
    <w:rsid w:val="005933EE"/>
    <w:rsid w:val="005E2CC0"/>
    <w:rsid w:val="005F390F"/>
    <w:rsid w:val="00604B38"/>
    <w:rsid w:val="00622A99"/>
    <w:rsid w:val="00646E1C"/>
    <w:rsid w:val="00670105"/>
    <w:rsid w:val="006724D1"/>
    <w:rsid w:val="006B6952"/>
    <w:rsid w:val="007531EB"/>
    <w:rsid w:val="007607CF"/>
    <w:rsid w:val="00773FFB"/>
    <w:rsid w:val="00775365"/>
    <w:rsid w:val="00787FB2"/>
    <w:rsid w:val="007B0F2C"/>
    <w:rsid w:val="007B25E9"/>
    <w:rsid w:val="007C2A15"/>
    <w:rsid w:val="007D50F1"/>
    <w:rsid w:val="007E617B"/>
    <w:rsid w:val="007F31ED"/>
    <w:rsid w:val="007F4059"/>
    <w:rsid w:val="007F5CEF"/>
    <w:rsid w:val="00845830"/>
    <w:rsid w:val="00853137"/>
    <w:rsid w:val="008D28F7"/>
    <w:rsid w:val="00903861"/>
    <w:rsid w:val="00910FD5"/>
    <w:rsid w:val="009166F9"/>
    <w:rsid w:val="009341A0"/>
    <w:rsid w:val="00954546"/>
    <w:rsid w:val="009A1BBB"/>
    <w:rsid w:val="009C0CA3"/>
    <w:rsid w:val="009C306B"/>
    <w:rsid w:val="009F1E87"/>
    <w:rsid w:val="00A15CD8"/>
    <w:rsid w:val="00A27EF5"/>
    <w:rsid w:val="00A54CF1"/>
    <w:rsid w:val="00A629A6"/>
    <w:rsid w:val="00A72E30"/>
    <w:rsid w:val="00A81FD2"/>
    <w:rsid w:val="00A836F6"/>
    <w:rsid w:val="00AA0054"/>
    <w:rsid w:val="00AA0E4F"/>
    <w:rsid w:val="00AE3ECD"/>
    <w:rsid w:val="00AF32E0"/>
    <w:rsid w:val="00B203A7"/>
    <w:rsid w:val="00B418F5"/>
    <w:rsid w:val="00B44022"/>
    <w:rsid w:val="00B60EA5"/>
    <w:rsid w:val="00B80FF4"/>
    <w:rsid w:val="00B82C0B"/>
    <w:rsid w:val="00BC7030"/>
    <w:rsid w:val="00C105CC"/>
    <w:rsid w:val="00C512D5"/>
    <w:rsid w:val="00C8713D"/>
    <w:rsid w:val="00CC5354"/>
    <w:rsid w:val="00D16556"/>
    <w:rsid w:val="00D230A5"/>
    <w:rsid w:val="00D31914"/>
    <w:rsid w:val="00DD7A7D"/>
    <w:rsid w:val="00DE7926"/>
    <w:rsid w:val="00E215F5"/>
    <w:rsid w:val="00E43252"/>
    <w:rsid w:val="00EE41F2"/>
    <w:rsid w:val="00EE6D7E"/>
    <w:rsid w:val="00F0046B"/>
    <w:rsid w:val="00F1731F"/>
    <w:rsid w:val="00F32576"/>
    <w:rsid w:val="00F93D36"/>
    <w:rsid w:val="00F96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38"/>
    <w:rPr>
      <w:sz w:val="24"/>
      <w:szCs w:val="24"/>
    </w:rPr>
  </w:style>
  <w:style w:type="paragraph" w:styleId="Heading2">
    <w:name w:val="heading 2"/>
    <w:basedOn w:val="Normal"/>
    <w:next w:val="Normal"/>
    <w:link w:val="Heading2Char"/>
    <w:uiPriority w:val="9"/>
    <w:semiHidden/>
    <w:unhideWhenUsed/>
    <w:qFormat/>
    <w:rsid w:val="00543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07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7838"/>
    <w:rPr>
      <w:sz w:val="22"/>
    </w:rPr>
  </w:style>
  <w:style w:type="paragraph" w:styleId="Header">
    <w:name w:val="header"/>
    <w:basedOn w:val="Normal"/>
    <w:link w:val="HeaderChar"/>
    <w:uiPriority w:val="99"/>
    <w:unhideWhenUsed/>
    <w:rsid w:val="00CC5354"/>
    <w:pPr>
      <w:tabs>
        <w:tab w:val="center" w:pos="4680"/>
        <w:tab w:val="right" w:pos="9360"/>
      </w:tabs>
    </w:pPr>
  </w:style>
  <w:style w:type="character" w:customStyle="1" w:styleId="HeaderChar">
    <w:name w:val="Header Char"/>
    <w:basedOn w:val="DefaultParagraphFont"/>
    <w:link w:val="Header"/>
    <w:uiPriority w:val="99"/>
    <w:rsid w:val="00CC5354"/>
    <w:rPr>
      <w:sz w:val="24"/>
      <w:szCs w:val="24"/>
    </w:rPr>
  </w:style>
  <w:style w:type="paragraph" w:styleId="Footer">
    <w:name w:val="footer"/>
    <w:basedOn w:val="Normal"/>
    <w:link w:val="FooterChar"/>
    <w:uiPriority w:val="99"/>
    <w:unhideWhenUsed/>
    <w:rsid w:val="00CC5354"/>
    <w:pPr>
      <w:tabs>
        <w:tab w:val="center" w:pos="4680"/>
        <w:tab w:val="right" w:pos="9360"/>
      </w:tabs>
    </w:pPr>
  </w:style>
  <w:style w:type="character" w:customStyle="1" w:styleId="FooterChar">
    <w:name w:val="Footer Char"/>
    <w:basedOn w:val="DefaultParagraphFont"/>
    <w:link w:val="Footer"/>
    <w:uiPriority w:val="99"/>
    <w:rsid w:val="00CC5354"/>
    <w:rPr>
      <w:sz w:val="24"/>
      <w:szCs w:val="24"/>
    </w:rPr>
  </w:style>
  <w:style w:type="character" w:styleId="Strong">
    <w:name w:val="Strong"/>
    <w:basedOn w:val="DefaultParagraphFont"/>
    <w:uiPriority w:val="22"/>
    <w:qFormat/>
    <w:rsid w:val="009C0CA3"/>
    <w:rPr>
      <w:b/>
      <w:bCs/>
    </w:rPr>
  </w:style>
  <w:style w:type="paragraph" w:styleId="ListParagraph">
    <w:name w:val="List Paragraph"/>
    <w:basedOn w:val="Normal"/>
    <w:uiPriority w:val="34"/>
    <w:qFormat/>
    <w:rsid w:val="003D64A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3D64A6"/>
    <w:rPr>
      <w:color w:val="0000FF"/>
      <w:u w:val="single"/>
    </w:rPr>
  </w:style>
  <w:style w:type="character" w:styleId="FollowedHyperlink">
    <w:name w:val="FollowedHyperlink"/>
    <w:basedOn w:val="DefaultParagraphFont"/>
    <w:uiPriority w:val="99"/>
    <w:semiHidden/>
    <w:unhideWhenUsed/>
    <w:rsid w:val="003D64A6"/>
    <w:rPr>
      <w:color w:val="800080" w:themeColor="followedHyperlink"/>
      <w:u w:val="single"/>
    </w:rPr>
  </w:style>
  <w:style w:type="character" w:customStyle="1" w:styleId="Heading3Char">
    <w:name w:val="Heading 3 Char"/>
    <w:basedOn w:val="DefaultParagraphFont"/>
    <w:link w:val="Heading3"/>
    <w:uiPriority w:val="9"/>
    <w:rsid w:val="007607CF"/>
    <w:rPr>
      <w:b/>
      <w:bCs/>
      <w:sz w:val="27"/>
      <w:szCs w:val="27"/>
    </w:rPr>
  </w:style>
  <w:style w:type="character" w:customStyle="1" w:styleId="apple-converted-space">
    <w:name w:val="apple-converted-space"/>
    <w:basedOn w:val="DefaultParagraphFont"/>
    <w:rsid w:val="007607CF"/>
  </w:style>
  <w:style w:type="character" w:styleId="HTMLCite">
    <w:name w:val="HTML Cite"/>
    <w:basedOn w:val="DefaultParagraphFont"/>
    <w:uiPriority w:val="99"/>
    <w:semiHidden/>
    <w:unhideWhenUsed/>
    <w:rsid w:val="007607CF"/>
    <w:rPr>
      <w:i/>
      <w:iCs/>
    </w:rPr>
  </w:style>
  <w:style w:type="character" w:customStyle="1" w:styleId="st">
    <w:name w:val="st"/>
    <w:basedOn w:val="DefaultParagraphFont"/>
    <w:rsid w:val="007607CF"/>
  </w:style>
  <w:style w:type="character" w:styleId="Emphasis">
    <w:name w:val="Emphasis"/>
    <w:basedOn w:val="DefaultParagraphFont"/>
    <w:uiPriority w:val="20"/>
    <w:qFormat/>
    <w:rsid w:val="007607CF"/>
    <w:rPr>
      <w:i/>
      <w:iCs/>
    </w:rPr>
  </w:style>
  <w:style w:type="paragraph" w:styleId="BalloonText">
    <w:name w:val="Balloon Text"/>
    <w:basedOn w:val="Normal"/>
    <w:link w:val="BalloonTextChar"/>
    <w:uiPriority w:val="99"/>
    <w:semiHidden/>
    <w:unhideWhenUsed/>
    <w:rsid w:val="001471DF"/>
    <w:rPr>
      <w:rFonts w:ascii="Tahoma" w:hAnsi="Tahoma" w:cs="Tahoma"/>
      <w:sz w:val="16"/>
      <w:szCs w:val="16"/>
    </w:rPr>
  </w:style>
  <w:style w:type="character" w:customStyle="1" w:styleId="BalloonTextChar">
    <w:name w:val="Balloon Text Char"/>
    <w:basedOn w:val="DefaultParagraphFont"/>
    <w:link w:val="BalloonText"/>
    <w:uiPriority w:val="99"/>
    <w:semiHidden/>
    <w:rsid w:val="001471DF"/>
    <w:rPr>
      <w:rFonts w:ascii="Tahoma" w:hAnsi="Tahoma" w:cs="Tahoma"/>
      <w:sz w:val="16"/>
      <w:szCs w:val="16"/>
    </w:rPr>
  </w:style>
  <w:style w:type="paragraph" w:styleId="Title">
    <w:name w:val="Title"/>
    <w:basedOn w:val="Normal"/>
    <w:link w:val="TitleChar"/>
    <w:qFormat/>
    <w:rsid w:val="007B25E9"/>
    <w:pPr>
      <w:jc w:val="center"/>
    </w:pPr>
    <w:rPr>
      <w:b/>
      <w:bCs/>
      <w:sz w:val="28"/>
    </w:rPr>
  </w:style>
  <w:style w:type="character" w:customStyle="1" w:styleId="TitleChar">
    <w:name w:val="Title Char"/>
    <w:basedOn w:val="DefaultParagraphFont"/>
    <w:link w:val="Title"/>
    <w:rsid w:val="007B25E9"/>
    <w:rPr>
      <w:b/>
      <w:bCs/>
      <w:sz w:val="28"/>
      <w:szCs w:val="24"/>
    </w:rPr>
  </w:style>
  <w:style w:type="character" w:customStyle="1" w:styleId="Heading2Char">
    <w:name w:val="Heading 2 Char"/>
    <w:basedOn w:val="DefaultParagraphFont"/>
    <w:link w:val="Heading2"/>
    <w:uiPriority w:val="9"/>
    <w:semiHidden/>
    <w:rsid w:val="00543A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7607C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Header">
    <w:name w:val="header"/>
    <w:basedOn w:val="Normal"/>
    <w:link w:val="HeaderChar"/>
    <w:uiPriority w:val="99"/>
    <w:unhideWhenUsed/>
    <w:rsid w:val="00CC5354"/>
    <w:pPr>
      <w:tabs>
        <w:tab w:val="center" w:pos="4680"/>
        <w:tab w:val="right" w:pos="9360"/>
      </w:tabs>
    </w:pPr>
  </w:style>
  <w:style w:type="character" w:customStyle="1" w:styleId="HeaderChar">
    <w:name w:val="Header Char"/>
    <w:basedOn w:val="DefaultParagraphFont"/>
    <w:link w:val="Header"/>
    <w:uiPriority w:val="99"/>
    <w:rsid w:val="00CC5354"/>
    <w:rPr>
      <w:sz w:val="24"/>
      <w:szCs w:val="24"/>
    </w:rPr>
  </w:style>
  <w:style w:type="paragraph" w:styleId="Footer">
    <w:name w:val="footer"/>
    <w:basedOn w:val="Normal"/>
    <w:link w:val="FooterChar"/>
    <w:uiPriority w:val="99"/>
    <w:unhideWhenUsed/>
    <w:rsid w:val="00CC5354"/>
    <w:pPr>
      <w:tabs>
        <w:tab w:val="center" w:pos="4680"/>
        <w:tab w:val="right" w:pos="9360"/>
      </w:tabs>
    </w:pPr>
  </w:style>
  <w:style w:type="character" w:customStyle="1" w:styleId="FooterChar">
    <w:name w:val="Footer Char"/>
    <w:basedOn w:val="DefaultParagraphFont"/>
    <w:link w:val="Footer"/>
    <w:uiPriority w:val="99"/>
    <w:rsid w:val="00CC5354"/>
    <w:rPr>
      <w:sz w:val="24"/>
      <w:szCs w:val="24"/>
    </w:rPr>
  </w:style>
  <w:style w:type="character" w:styleId="Strong">
    <w:name w:val="Strong"/>
    <w:basedOn w:val="DefaultParagraphFont"/>
    <w:uiPriority w:val="22"/>
    <w:qFormat/>
    <w:rsid w:val="009C0CA3"/>
    <w:rPr>
      <w:b/>
      <w:bCs/>
    </w:rPr>
  </w:style>
  <w:style w:type="paragraph" w:styleId="ListParagraph">
    <w:name w:val="List Paragraph"/>
    <w:basedOn w:val="Normal"/>
    <w:uiPriority w:val="34"/>
    <w:qFormat/>
    <w:rsid w:val="003D64A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3D64A6"/>
    <w:rPr>
      <w:color w:val="0000FF"/>
      <w:u w:val="single"/>
    </w:rPr>
  </w:style>
  <w:style w:type="character" w:styleId="FollowedHyperlink">
    <w:name w:val="FollowedHyperlink"/>
    <w:basedOn w:val="DefaultParagraphFont"/>
    <w:uiPriority w:val="99"/>
    <w:semiHidden/>
    <w:unhideWhenUsed/>
    <w:rsid w:val="003D64A6"/>
    <w:rPr>
      <w:color w:val="800080" w:themeColor="followedHyperlink"/>
      <w:u w:val="single"/>
    </w:rPr>
  </w:style>
  <w:style w:type="character" w:customStyle="1" w:styleId="Heading3Char">
    <w:name w:val="Heading 3 Char"/>
    <w:basedOn w:val="DefaultParagraphFont"/>
    <w:link w:val="Heading3"/>
    <w:uiPriority w:val="9"/>
    <w:rsid w:val="007607CF"/>
    <w:rPr>
      <w:b/>
      <w:bCs/>
      <w:sz w:val="27"/>
      <w:szCs w:val="27"/>
    </w:rPr>
  </w:style>
  <w:style w:type="character" w:customStyle="1" w:styleId="apple-converted-space">
    <w:name w:val="apple-converted-space"/>
    <w:basedOn w:val="DefaultParagraphFont"/>
    <w:rsid w:val="007607CF"/>
  </w:style>
  <w:style w:type="character" w:styleId="HTMLCite">
    <w:name w:val="HTML Cite"/>
    <w:basedOn w:val="DefaultParagraphFont"/>
    <w:uiPriority w:val="99"/>
    <w:semiHidden/>
    <w:unhideWhenUsed/>
    <w:rsid w:val="007607CF"/>
    <w:rPr>
      <w:i/>
      <w:iCs/>
    </w:rPr>
  </w:style>
  <w:style w:type="character" w:customStyle="1" w:styleId="st">
    <w:name w:val="st"/>
    <w:basedOn w:val="DefaultParagraphFont"/>
    <w:rsid w:val="007607CF"/>
  </w:style>
  <w:style w:type="character" w:styleId="Emphasis">
    <w:name w:val="Emphasis"/>
    <w:basedOn w:val="DefaultParagraphFont"/>
    <w:uiPriority w:val="20"/>
    <w:qFormat/>
    <w:rsid w:val="007607CF"/>
    <w:rPr>
      <w:i/>
      <w:iCs/>
    </w:rPr>
  </w:style>
  <w:style w:type="paragraph" w:styleId="BalloonText">
    <w:name w:val="Balloon Text"/>
    <w:basedOn w:val="Normal"/>
    <w:link w:val="BalloonTextChar"/>
    <w:uiPriority w:val="99"/>
    <w:semiHidden/>
    <w:unhideWhenUsed/>
    <w:rsid w:val="001471DF"/>
    <w:rPr>
      <w:rFonts w:ascii="Tahoma" w:hAnsi="Tahoma" w:cs="Tahoma"/>
      <w:sz w:val="16"/>
      <w:szCs w:val="16"/>
    </w:rPr>
  </w:style>
  <w:style w:type="character" w:customStyle="1" w:styleId="BalloonTextChar">
    <w:name w:val="Balloon Text Char"/>
    <w:basedOn w:val="DefaultParagraphFont"/>
    <w:link w:val="BalloonText"/>
    <w:uiPriority w:val="99"/>
    <w:semiHidden/>
    <w:rsid w:val="001471DF"/>
    <w:rPr>
      <w:rFonts w:ascii="Tahoma" w:hAnsi="Tahoma" w:cs="Tahoma"/>
      <w:sz w:val="16"/>
      <w:szCs w:val="16"/>
    </w:rPr>
  </w:style>
  <w:style w:type="paragraph" w:styleId="Title">
    <w:name w:val="Title"/>
    <w:basedOn w:val="Normal"/>
    <w:link w:val="TitleChar"/>
    <w:qFormat/>
    <w:rsid w:val="007B25E9"/>
    <w:pPr>
      <w:jc w:val="center"/>
    </w:pPr>
    <w:rPr>
      <w:b/>
      <w:bCs/>
      <w:sz w:val="28"/>
    </w:rPr>
  </w:style>
  <w:style w:type="character" w:customStyle="1" w:styleId="TitleChar">
    <w:name w:val="Title Char"/>
    <w:basedOn w:val="DefaultParagraphFont"/>
    <w:link w:val="Title"/>
    <w:rsid w:val="007B25E9"/>
    <w:rPr>
      <w:b/>
      <w:bCs/>
      <w:sz w:val="28"/>
      <w:szCs w:val="24"/>
    </w:rPr>
  </w:style>
</w:styles>
</file>

<file path=word/webSettings.xml><?xml version="1.0" encoding="utf-8"?>
<w:webSettings xmlns:r="http://schemas.openxmlformats.org/officeDocument/2006/relationships" xmlns:w="http://schemas.openxmlformats.org/wordprocessingml/2006/main">
  <w:divs>
    <w:div w:id="146361187">
      <w:bodyDiv w:val="1"/>
      <w:marLeft w:val="0"/>
      <w:marRight w:val="0"/>
      <w:marTop w:val="0"/>
      <w:marBottom w:val="0"/>
      <w:divBdr>
        <w:top w:val="none" w:sz="0" w:space="0" w:color="auto"/>
        <w:left w:val="none" w:sz="0" w:space="0" w:color="auto"/>
        <w:bottom w:val="none" w:sz="0" w:space="0" w:color="auto"/>
        <w:right w:val="none" w:sz="0" w:space="0" w:color="auto"/>
      </w:divBdr>
    </w:div>
    <w:div w:id="1758362418">
      <w:bodyDiv w:val="1"/>
      <w:marLeft w:val="0"/>
      <w:marRight w:val="0"/>
      <w:marTop w:val="0"/>
      <w:marBottom w:val="0"/>
      <w:divBdr>
        <w:top w:val="none" w:sz="0" w:space="0" w:color="auto"/>
        <w:left w:val="none" w:sz="0" w:space="0" w:color="auto"/>
        <w:bottom w:val="none" w:sz="0" w:space="0" w:color="auto"/>
        <w:right w:val="none" w:sz="0" w:space="0" w:color="auto"/>
      </w:divBdr>
    </w:div>
    <w:div w:id="1865559894">
      <w:bodyDiv w:val="1"/>
      <w:marLeft w:val="0"/>
      <w:marRight w:val="0"/>
      <w:marTop w:val="0"/>
      <w:marBottom w:val="0"/>
      <w:divBdr>
        <w:top w:val="none" w:sz="0" w:space="0" w:color="auto"/>
        <w:left w:val="none" w:sz="0" w:space="0" w:color="auto"/>
        <w:bottom w:val="none" w:sz="0" w:space="0" w:color="auto"/>
        <w:right w:val="none" w:sz="0" w:space="0" w:color="auto"/>
      </w:divBdr>
    </w:div>
    <w:div w:id="2057465732">
      <w:bodyDiv w:val="1"/>
      <w:marLeft w:val="0"/>
      <w:marRight w:val="0"/>
      <w:marTop w:val="0"/>
      <w:marBottom w:val="0"/>
      <w:divBdr>
        <w:top w:val="none" w:sz="0" w:space="0" w:color="auto"/>
        <w:left w:val="none" w:sz="0" w:space="0" w:color="auto"/>
        <w:bottom w:val="none" w:sz="0" w:space="0" w:color="auto"/>
        <w:right w:val="none" w:sz="0" w:space="0" w:color="auto"/>
      </w:divBdr>
      <w:divsChild>
        <w:div w:id="1868832897">
          <w:marLeft w:val="0"/>
          <w:marRight w:val="0"/>
          <w:marTop w:val="0"/>
          <w:marBottom w:val="0"/>
          <w:divBdr>
            <w:top w:val="none" w:sz="0" w:space="0" w:color="auto"/>
            <w:left w:val="none" w:sz="0" w:space="0" w:color="auto"/>
            <w:bottom w:val="none" w:sz="0" w:space="0" w:color="auto"/>
            <w:right w:val="none" w:sz="0" w:space="0" w:color="auto"/>
          </w:divBdr>
          <w:divsChild>
            <w:div w:id="295451805">
              <w:marLeft w:val="0"/>
              <w:marRight w:val="0"/>
              <w:marTop w:val="0"/>
              <w:marBottom w:val="15"/>
              <w:divBdr>
                <w:top w:val="none" w:sz="0" w:space="0" w:color="auto"/>
                <w:left w:val="none" w:sz="0" w:space="0" w:color="auto"/>
                <w:bottom w:val="none" w:sz="0" w:space="0" w:color="auto"/>
                <w:right w:val="none" w:sz="0" w:space="0" w:color="auto"/>
              </w:divBdr>
              <w:divsChild>
                <w:div w:id="2135634457">
                  <w:marLeft w:val="45"/>
                  <w:marRight w:val="45"/>
                  <w:marTop w:val="0"/>
                  <w:marBottom w:val="0"/>
                  <w:divBdr>
                    <w:top w:val="none" w:sz="0" w:space="0" w:color="auto"/>
                    <w:left w:val="none" w:sz="0" w:space="0" w:color="auto"/>
                    <w:bottom w:val="none" w:sz="0" w:space="0" w:color="auto"/>
                    <w:right w:val="none" w:sz="0" w:space="0" w:color="auto"/>
                  </w:divBdr>
                  <w:divsChild>
                    <w:div w:id="11381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hawks.com/gameday/stadium-guide/concessions.html" TargetMode="External"/><Relationship Id="rId13" Type="http://schemas.openxmlformats.org/officeDocument/2006/relationships/hyperlink" Target="http://digitalcommons.uconn.edu/cgi/viewcontent.cgi?article=1053&amp;context=srhonors_theses&amp;sei-redir=1&amp;referer=http%3A%2F%2Fwww.google.com%2Furl%3Fsa%3Dt%26rct%3Dj%26q%3Dbalanced%2520scorecard%2520sports%2520team%26source%3Dweb%26cd%3D5%26sqi%3D2%26ved%3D0CEgQFjAE%26url%3Dhttp%253A%252F%252Fdigitalcommons.uconn.edu%252Fcgi%252Fviewcontent.cgi%253Farticle%253D1053%2526context%253Dsrhonors_theses%26ei%3Duj6IUbKKEuSRiQLH0ICQAg%26usg%3DAFQjCNG_bSmveaW7aj47q99IHCoJW6fC5A"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geconsearch.umn.edu/bitstream/104661/2/3_Becsky_The%20Application_Apstrac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elkcollegeofbusiness.uncc.edu/cdepken/pap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leticbusiness.com/marketing/concessions-contracts-capitalizing-on-consumers-brand-loyalty.html" TargetMode="External"/><Relationship Id="rId5" Type="http://schemas.openxmlformats.org/officeDocument/2006/relationships/webSettings" Target="webSettings.xml"/><Relationship Id="rId15" Type="http://schemas.openxmlformats.org/officeDocument/2006/relationships/hyperlink" Target="http://www.accessmylibrary.com/article-1G1-141596951/also-real-supper-bowl.html" TargetMode="External"/><Relationship Id="rId10" Type="http://schemas.openxmlformats.org/officeDocument/2006/relationships/hyperlink" Target="http://www.centralpennbusiness.com/article/20121107/SPORTS/121109844/-1/events_calendar/Concessions:-Quite-the-moneymaker-for-stadiums&amp;template=spor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urylinkfield.com/concessions-guide/" TargetMode="External"/><Relationship Id="rId14" Type="http://schemas.openxmlformats.org/officeDocument/2006/relationships/hyperlink" Target="http://connection.ebscohost.com/c/articles/16761795/ivars-celebrates-age-old-fashioned-way-tallying-higher-sales-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F0D3-9931-44DD-BBD8-3430F50D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JP’s Case</vt:lpstr>
    </vt:vector>
  </TitlesOfParts>
  <Company>Bellevue College</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JP’s Case</dc:title>
  <dc:creator>Martin</dc:creator>
  <cp:lastModifiedBy>Judith</cp:lastModifiedBy>
  <cp:revision>12</cp:revision>
  <cp:lastPrinted>2014-05-14T08:03:00Z</cp:lastPrinted>
  <dcterms:created xsi:type="dcterms:W3CDTF">2014-05-14T07:48:00Z</dcterms:created>
  <dcterms:modified xsi:type="dcterms:W3CDTF">2014-05-14T08:03:00Z</dcterms:modified>
</cp:coreProperties>
</file>